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038" w:id="0"/>
    <w:bookmarkEnd w:id="0"/>
    <w:bookmarkStart w:name="f-10038-1" w:id="1"/>
    <w:p>
      <w:pPr>
        <w:pStyle w:val="Heading1"/>
      </w:pPr>
      <w:bookmarkStart w:name="h-10038-1" w:id="2"/>
      <w:r>
        <w:rPr/>
        <w:t xml:space="preserve">0184p TERMIMESH termite management</w:t>
      </w:r>
      <w:bookmarkEnd w:id="2"/>
    </w:p>
    <w:bookmarkEnd w:id="1"/>
    <w:bookmarkStart w:name="f-10038-10038.1" w:id="3"/>
    <w:p>
      <w:pPr>
        <w:pStyle w:val="InstructionsHeading4"/>
      </w:pPr>
      <w:bookmarkStart w:name="h-10038-10038.1" w:id="4"/>
      <w:r>
        <w:rPr/>
        <w:t xml:space="preserve">Branded worksection</w:t>
      </w:r>
      <w:bookmarkEnd w:id="4"/>
    </w:p>
    <w:p>
      <w:pPr>
        <w:pStyle w:val="Instructions"/>
      </w:pPr>
      <w:r>
        <w:rPr/>
        <w:t xml:space="preserve">This branded worksection Template has been developed by NATSPEC in conjunction with </w:t>
      </w:r>
      <w:r>
        <w:rPr>
          <w:b/>
        </w:rPr>
        <w:t xml:space="preserve">TMA Corporation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038-t2-1" w:id="5"/>
    <w:p>
      <w:pPr>
        <w:pStyle w:val="InstructionsHeading4"/>
      </w:pPr>
      <w:bookmarkStart w:name="h-10038-t2-1" w:id="6"/>
      <w:r>
        <w:rPr/>
        <w:t xml:space="preserve">Worksection abstract</w:t>
      </w:r>
      <w:bookmarkEnd w:id="6"/>
    </w:p>
    <w:p>
      <w:pPr>
        <w:pStyle w:val="Instructions"/>
      </w:pPr>
      <w:r>
        <w:rPr/>
        <w:t xml:space="preserve">This branded worksection </w:t>
      </w:r>
      <w:r>
        <w:rPr>
          <w:i/>
        </w:rPr>
        <w:t xml:space="preserve">Template</w:t>
      </w:r>
      <w:r>
        <w:rPr/>
        <w:t xml:space="preserve"> is applicable to the TERMIMESH termite management system, which is a physical termite management system. The core standard is AS 3660.1 (2014).</w:t>
      </w:r>
    </w:p>
    <w:bookmarkEnd w:id="5"/>
    <w:bookmarkStart w:name="f-10038-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0038-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0185 Timber products, finishes and treatment</w:t>
      </w:r>
      <w:r>
        <w:rPr/>
        <w:t xml:space="preserve"> for preservative treatment of timber products.</w:t>
      </w:r>
    </w:p>
    <w:p>
      <w:pPr>
        <w:pStyle w:val="Instructionsindent"/>
      </w:pPr>
      <w:r>
        <w:rPr>
          <w:i/>
        </w:rPr>
        <w:t xml:space="preserve">0314 Concrete in situ</w:t>
      </w:r>
      <w:r>
        <w:rPr/>
        <w:t xml:space="preserve"> for concrete slab used as a termite management system.</w:t>
      </w:r>
    </w:p>
    <w:bookmarkEnd w:id="11"/>
    <w:bookmarkStart w:name="f-10038-t6-1" w:id="15"/>
    <w:p>
      <w:pPr>
        <w:pStyle w:val="InstructionsHeading4"/>
      </w:pPr>
      <w:bookmarkStart w:name="h-10038-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Termite management systems are not described elsewhere. Coordinate with other worksections, such as </w:t>
      </w:r>
      <w:r>
        <w:rPr>
          <w:i/>
        </w:rPr>
        <w:t xml:space="preserve">0222 Earthwork</w:t>
      </w:r>
      <w:r>
        <w:rPr/>
        <w:t xml:space="preserve">, </w:t>
      </w:r>
      <w:r>
        <w:rPr>
          <w:i/>
        </w:rPr>
        <w:t xml:space="preserve">0314 Concrete in situ</w:t>
      </w:r>
      <w:r>
        <w:rPr/>
        <w:t xml:space="preserve">, </w:t>
      </w:r>
      <w:r>
        <w:rPr>
          <w:i/>
        </w:rPr>
        <w:t xml:space="preserve">0331 Brick and block construction</w:t>
      </w:r>
      <w:r>
        <w:rPr/>
        <w:t xml:space="preserve">, </w:t>
      </w:r>
      <w:r>
        <w:rPr>
          <w:i/>
        </w:rPr>
        <w:t xml:space="preserve">0381 Structural timber</w:t>
      </w:r>
      <w:r>
        <w:rPr/>
        <w:t xml:space="preserve"> and </w:t>
      </w:r>
      <w:r>
        <w:rPr>
          <w:i/>
        </w:rPr>
        <w:t xml:space="preserve">0382 Light timber framing</w:t>
      </w:r>
      <w:r>
        <w:rPr/>
        <w:t xml:space="preserve">.</w:t>
      </w:r>
    </w:p>
    <w:p>
      <w:pPr>
        <w:pStyle w:val="Instructionsindent"/>
      </w:pPr>
      <w:r>
        <w:rPr/>
        <w:t xml:space="preserve">Slabs on ground: Coordinate with the concrete worksections where slabs on ground to AS 2870 (2011) or AS 3600 (2018) are used as part of the termite management system. AS 3660.1 (2014) cites both standards for this purpose and advises that, if using AS 3600 (2018), due regard must be given to minimising shrinkage cracking.</w:t>
      </w:r>
    </w:p>
    <w:p>
      <w:pPr>
        <w:pStyle w:val="Instructionsindent"/>
      </w:pPr>
      <w:r>
        <w:rPr/>
        <w:t xml:space="preserve">For structural elements below the termite management system and for suspended floors, see AS 3660.1 (2014) Section 3.</w:t>
      </w:r>
    </w:p>
    <w:p>
      <w:pPr>
        <w:pStyle w:val="Instructionsindent"/>
      </w:pPr>
      <w:r>
        <w:rPr/>
        <w:t xml:space="preserve">Termite resistant materials used as a stand-alone method: In addition to structural elements, allow for termite resistant non-structural timber elements such as architraves, door jambs, window frames and reveals, skirtings, and fascias and barge boards.</w:t>
      </w:r>
    </w:p>
    <w:p>
      <w:pPr>
        <w:pStyle w:val="Instructionsindent"/>
      </w:pPr>
      <w:r>
        <w:rPr/>
        <w:t xml:space="preserve">Site management: Document landscaping and site management requirements, such as surface and subsurface drainage, vegetation clearing (to plant roots) and use of fill without vegetative matter, on drawings or in other worksections.</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Termite management.</w:t>
      </w:r>
    </w:p>
    <w:bookmarkEnd w:id="15"/>
    <w:bookmarkStart w:name="f-10038-t7-1" w:id="21"/>
    <w:p>
      <w:pPr>
        <w:pStyle w:val="InstructionsHeading4"/>
      </w:pPr>
      <w:bookmarkStart w:name="h-10038-t7-1" w:id="22"/>
      <w:r>
        <w:rPr/>
        <w:t xml:space="preserve">Specifying ESD</w:t>
      </w:r>
      <w:bookmarkEnd w:id="22"/>
    </w:p>
    <w:p>
      <w:pPr>
        <w:pStyle w:val="Instructions"/>
      </w:pPr>
      <w:r>
        <w:rPr/>
        <w:t xml:space="preserve">The following may be specified by retaining default text:</w:t>
      </w:r>
    </w:p>
    <w:p>
      <w:pPr>
        <w:pStyle w:val="Instructionsindent"/>
      </w:pPr>
      <w:r>
        <w:rPr/>
        <w:t xml:space="preserve">Non-chemical termite management systems.</w:t>
      </w:r>
    </w:p>
    <w:p>
      <w:pPr>
        <w:pStyle w:val="Instructions"/>
      </w:pPr>
      <w:r>
        <w:rPr/>
        <w:t xml:space="preserve">The following may be specified by including additional text:</w:t>
      </w:r>
    </w:p>
    <w:p>
      <w:pPr>
        <w:pStyle w:val="Instructionsindent"/>
      </w:pPr>
      <w:r>
        <w:rPr/>
        <w:t xml:space="preserve">Low toxicity chemical treatments.</w:t>
      </w:r>
    </w:p>
    <w:p>
      <w:pPr>
        <w:pStyle w:val="Instructionsindent"/>
      </w:pPr>
      <w:r>
        <w:rPr/>
        <w:t xml:space="preserve">Chemical free accessories, e.g. resins, grouts, mortars and collars.</w:t>
      </w:r>
    </w:p>
    <w:p>
      <w:pPr>
        <w:pStyle w:val="Instructions"/>
      </w:pPr>
      <w:r>
        <w:rPr/>
        <w:t xml:space="preserve">Refer to NATSPEC TECHreport TR 01 on specifying ESD.</w:t>
      </w:r>
    </w:p>
    <w:bookmarkEnd w:id="21"/>
    <w:bookmarkStart w:name="f-10038-2" w:id="23"/>
    <w:bookmarkStart w:name="f-10034" w:id="24"/>
    <w:bookmarkStart w:name="f-10034-1" w:id="25"/>
    <w:p>
      <w:pPr>
        <w:pStyle w:val="Heading2"/>
      </w:pPr>
      <w:bookmarkStart w:name="h-10034-1" w:id="26"/>
      <w:r>
        <w:rPr/>
        <w:t xml:space="preserve">GENERAL</w:t>
      </w:r>
      <w:bookmarkEnd w:id="26"/>
    </w:p>
    <w:bookmarkEnd w:id="25"/>
    <w:bookmarkStart w:name="f-10034-10034.1" w:id="27"/>
    <w:p>
      <w:pPr>
        <w:pStyle w:val="Instructions"/>
      </w:pPr>
      <w:r>
        <w:rPr/>
        <w:t xml:space="preserve">For 30 years, the TERMIMESH SYSTEM has come with unreserved guarantees for product efficacy in construction projects. TERMIMESH protects buildings as well as the reputations of architects and builders. TERMIMESH were the first to issue a warranty of substance covering workmanship, materials and consequential termite damage and continue doing so.</w:t>
      </w:r>
    </w:p>
    <w:p>
      <w:pPr>
        <w:pStyle w:val="Instructions"/>
      </w:pPr>
      <w:r>
        <w:rPr/>
        <w:t xml:space="preserve">Only the TERMIMESH Pledge Guarantee delivers the first 10 years of protection without compulsory annual termite inspections and with the opportunity for indefinite ongoing extensions.</w:t>
      </w:r>
    </w:p>
    <w:bookmarkEnd w:id="27"/>
    <w:bookmarkStart w:name="f-10034-2" w:id="28"/>
    <w:p>
      <w:pPr>
        <w:pStyle w:val="Heading3"/>
      </w:pPr>
      <w:bookmarkStart w:name="h-10034-2" w:id="29"/>
      <w:r>
        <w:rPr/>
        <w:t xml:space="preserve">RESPONSIBILITIES</w:t>
      </w:r>
      <w:bookmarkEnd w:id="29"/>
    </w:p>
    <w:bookmarkEnd w:id="28"/>
    <w:bookmarkStart w:name="f-10034-3" w:id="30"/>
    <w:p>
      <w:pPr>
        <w:pStyle w:val="Heading4"/>
      </w:pPr>
      <w:bookmarkStart w:name="h-10034-3" w:id="31"/>
      <w:r>
        <w:rPr/>
        <w:t xml:space="preserve">General</w:t>
      </w:r>
      <w:bookmarkEnd w:id="31"/>
    </w:p>
    <w:p>
      <w:pPr>
        <w:pStyle w:val="Body Text"/>
      </w:pPr>
      <w:r>
        <w:rPr/>
        <w:t xml:space="preserve">Requirement: Provide TERMIMESH termite management systems,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0034-4" w:id="34"/>
    <w:p>
      <w:pPr>
        <w:pStyle w:val="Heading4"/>
      </w:pPr>
      <w:bookmarkStart w:name="h-10034-4" w:id="35"/>
      <w:r>
        <w:rPr/>
        <w:t xml:space="preserve">Performance</w:t>
      </w:r>
      <w:bookmarkEnd w:id="35"/>
    </w:p>
    <w:p>
      <w:pPr>
        <w:pStyle w:val="Body Text"/>
      </w:pPr>
      <w:r>
        <w:rPr/>
        <w:t xml:space="preserve">Requirement: Building protection from concealed termite attack.</w:t>
      </w:r>
    </w:p>
    <w:p>
      <w:pPr>
        <w:pStyle w:val="Instructions"/>
      </w:pPr>
      <w:r>
        <w:rPr/>
        <w:t xml:space="preserve">Delete if the required level of protection is as defined in BCA (2022) B1D4(i) and BCA (2022) H1D3(3) as applicable.</w:t>
      </w:r>
    </w:p>
    <w:bookmarkEnd w:id="34"/>
    <w:bookmarkStart w:name="f-10034-10034.3" w:id="36"/>
    <w:p>
      <w:pPr>
        <w:pStyle w:val="Heading3"/>
      </w:pPr>
      <w:bookmarkStart w:name="h-10034-10034.3" w:id="37"/>
      <w:r>
        <w:rPr/>
        <w:t xml:space="preserve">COMPANY CONTACTS</w:t>
      </w:r>
      <w:bookmarkEnd w:id="37"/>
    </w:p>
    <w:bookmarkEnd w:id="36"/>
    <w:bookmarkStart w:name="f-10034-10034.2" w:id="38"/>
    <w:p>
      <w:pPr>
        <w:pStyle w:val="Heading4"/>
      </w:pPr>
      <w:bookmarkStart w:name="h-10034-10034.2" w:id="39"/>
      <w:r>
        <w:rPr/>
        <w:t xml:space="preserve">TERMIMESH technical contacts</w:t>
      </w:r>
      <w:bookmarkEnd w:id="39"/>
    </w:p>
    <w:p>
      <w:pPr>
        <w:pStyle w:val="Body Text"/>
      </w:pPr>
      <w:r>
        <w:rPr/>
        <w:t xml:space="preserve">Website: </w:t>
      </w:r>
      <w:r>
        <w:fldChar w:fldCharType="begin"/>
      </w:r>
      <w:r>
        <w:instrText xml:space="preserve"> HYPERLINK "https://www.termihc.com.au/" </w:instrText>
      </w:r>
      <w:r>
        <w:fldChar w:fldCharType="separate"/>
      </w:r>
      <w:r>
        <w:rPr>
          <w:rStyle w:val="Hyperlink"/>
        </w:rPr>
        <w:t>www.termihc.com.au</w:t>
      </w:r>
      <w:r>
        <w:fldChar w:fldCharType="end"/>
      </w:r>
    </w:p>
    <w:bookmarkEnd w:id="38"/>
    <w:bookmarkStart w:name="f-10034-5" w:id="40"/>
    <w:p>
      <w:pPr>
        <w:pStyle w:val="Heading3"/>
      </w:pPr>
      <w:bookmarkStart w:name="h-10034-5" w:id="41"/>
      <w:r>
        <w:rPr/>
        <w:t xml:space="preserve">CROSS REFERENCES</w:t>
      </w:r>
      <w:bookmarkEnd w:id="41"/>
    </w:p>
    <w:bookmarkEnd w:id="40"/>
    <w:bookmarkStart w:name="f-10034-21" w:id="42"/>
    <w:bookmarkStart w:name="f-7977" w:id="43"/>
    <w:bookmarkStart w:name="f-7977-1" w:id="44"/>
    <w:p>
      <w:pPr>
        <w:pStyle w:val="Heading4"/>
      </w:pPr>
      <w:bookmarkStart w:name="h-7977-1" w:id="45"/>
      <w:r>
        <w:rPr/>
        <w:t xml:space="preserve">General</w:t>
      </w:r>
      <w:bookmarkEnd w:id="45"/>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4"/>
    <w:bookmarkEnd w:id="43"/>
    <w:bookmarkEnd w:id="42"/>
    <w:bookmarkStart w:name="f-10034-7" w:id="46"/>
    <w:p>
      <w:pPr>
        <w:pStyle w:val="Heading3"/>
      </w:pPr>
      <w:bookmarkStart w:name="h-10034-7" w:id="47"/>
      <w:r>
        <w:rPr/>
        <w:t xml:space="preserve">STANDARD</w:t>
      </w:r>
      <w:bookmarkEnd w:id="47"/>
    </w:p>
    <w:bookmarkEnd w:id="46"/>
    <w:bookmarkStart w:name="f-10034-8" w:id="48"/>
    <w:p>
      <w:pPr>
        <w:pStyle w:val="Heading4"/>
      </w:pPr>
      <w:bookmarkStart w:name="h-10034-8" w:id="49"/>
      <w:r>
        <w:rPr/>
        <w:t xml:space="preserve">General</w:t>
      </w:r>
      <w:bookmarkEnd w:id="49"/>
    </w:p>
    <w:p>
      <w:pPr>
        <w:pStyle w:val="Body Text"/>
      </w:pPr>
      <w:r>
        <w:rPr/>
        <w:t xml:space="preserve">Termite management systems: To AS 3660.1 (2014).</w:t>
      </w:r>
    </w:p>
    <w:p>
      <w:pPr>
        <w:pStyle w:val="Instructions"/>
      </w:pPr>
      <w:r>
        <w:rPr/>
        <w:t xml:space="preserve">See AS 3660.2 (2017) for termite management in existing buildings and AS 3660.3 (2014) for assessing the effectiveness of proposed systems and the termite resistance of materials and components. For timber pest inspections in existing buildings, see AS 4349.3 (2010).</w:t>
      </w:r>
    </w:p>
    <w:bookmarkEnd w:id="48"/>
    <w:bookmarkStart w:name="f-10034-10034.5" w:id="50"/>
    <w:p>
      <w:pPr>
        <w:pStyle w:val="Heading3"/>
      </w:pPr>
      <w:bookmarkStart w:name="h-10034-10034.5" w:id="51"/>
      <w:r>
        <w:rPr/>
        <w:t xml:space="preserve">MANUFACTURER’S DOCUMENTS</w:t>
      </w:r>
      <w:bookmarkEnd w:id="51"/>
    </w:p>
    <w:bookmarkEnd w:id="50"/>
    <w:bookmarkStart w:name="f-10034-10034.4" w:id="52"/>
    <w:p>
      <w:pPr>
        <w:pStyle w:val="Heading4"/>
      </w:pPr>
      <w:bookmarkStart w:name="h-10034-10034.4" w:id="53"/>
      <w:r>
        <w:rPr/>
        <w:t xml:space="preserve">Technical manuals</w:t>
      </w:r>
      <w:bookmarkEnd w:id="53"/>
    </w:p>
    <w:p>
      <w:pPr>
        <w:pStyle w:val="Body Text"/>
      </w:pPr>
      <w:r>
        <w:rPr/>
        <w:t xml:space="preserve">Reference: </w:t>
      </w:r>
      <w:r>
        <w:rPr>
          <w:i/>
        </w:rPr>
        <w:t xml:space="preserve">TERMIMESH System Training and Reference Manual</w:t>
      </w:r>
      <w:r>
        <w:rPr/>
        <w:t xml:space="preserve">.</w:t>
      </w:r>
    </w:p>
    <w:p>
      <w:pPr>
        <w:pStyle w:val="Body Text"/>
      </w:pPr>
      <w:r>
        <w:rPr/>
        <w:t xml:space="preserve">Technical information: </w:t>
      </w:r>
      <w:r>
        <w:fldChar w:fldCharType="begin"/>
      </w:r>
      <w:r>
        <w:instrText xml:space="preserve"> HYPERLINK "https://www.termihc.com.au/termimesh/termite-control-specifications/" </w:instrText>
      </w:r>
      <w:r>
        <w:fldChar w:fldCharType="separate"/>
      </w:r>
      <w:r>
        <w:rPr>
          <w:rStyle w:val="Hyperlink"/>
        </w:rPr>
        <w:t>www.termihc.com.au/termimesh/termite-control-specifications</w:t>
      </w:r>
      <w:r>
        <w:fldChar w:fldCharType="end"/>
      </w:r>
    </w:p>
    <w:p>
      <w:pPr>
        <w:pStyle w:val="Body Text"/>
      </w:pPr>
      <w:r>
        <w:rPr/>
        <w:t xml:space="preserve">Information for builders: </w:t>
      </w:r>
      <w:r>
        <w:fldChar w:fldCharType="begin"/>
      </w:r>
      <w:r>
        <w:instrText xml:space="preserve"> HYPERLINK "https://www.termihc.com.au/commercial/builders/" </w:instrText>
      </w:r>
      <w:r>
        <w:fldChar w:fldCharType="separate"/>
      </w:r>
      <w:r>
        <w:rPr>
          <w:rStyle w:val="Hyperlink"/>
        </w:rPr>
        <w:t>www.termihc.com.au/commercial/builders</w:t>
      </w:r>
      <w:r>
        <w:fldChar w:fldCharType="end"/>
      </w:r>
    </w:p>
    <w:p>
      <w:pPr>
        <w:pStyle w:val="Body Text"/>
      </w:pPr>
      <w:r>
        <w:rPr/>
        <w:t xml:space="preserve">Information for architects: </w:t>
      </w:r>
      <w:r>
        <w:fldChar w:fldCharType="begin"/>
      </w:r>
      <w:r>
        <w:instrText xml:space="preserve"> HYPERLINK "https://www.termihc.com.au/commercial/architects/" </w:instrText>
      </w:r>
      <w:r>
        <w:fldChar w:fldCharType="separate"/>
      </w:r>
      <w:r>
        <w:rPr>
          <w:rStyle w:val="Hyperlink"/>
        </w:rPr>
        <w:t>www.termihc.com.au/commercial/architects</w:t>
      </w:r>
      <w:r>
        <w:fldChar w:fldCharType="end"/>
      </w:r>
    </w:p>
    <w:bookmarkEnd w:id="52"/>
    <w:bookmarkStart w:name="f-10034-9" w:id="54"/>
    <w:p>
      <w:pPr>
        <w:pStyle w:val="Heading3"/>
      </w:pPr>
      <w:bookmarkStart w:name="h-10034-9" w:id="55"/>
      <w:r>
        <w:rPr/>
        <w:t xml:space="preserve">INTERPRETATION</w:t>
      </w:r>
      <w:bookmarkEnd w:id="55"/>
    </w:p>
    <w:bookmarkEnd w:id="54"/>
    <w:bookmarkStart w:name="f-10034-10" w:id="56"/>
    <w:p>
      <w:pPr>
        <w:pStyle w:val="Heading4"/>
      </w:pPr>
      <w:bookmarkStart w:name="h-10034-10" w:id="57"/>
      <w:r>
        <w:rPr/>
        <w:t xml:space="preserve">Definitions</w:t>
      </w:r>
      <w:bookmarkEnd w:id="57"/>
    </w:p>
    <w:p>
      <w:pPr>
        <w:pStyle w:val="Body Text"/>
      </w:pPr>
      <w:r>
        <w:rPr/>
        <w:t xml:space="preserve">General: For the purposes of this worksection the definitions given in AS 3660.1 (2014) apply.</w:t>
      </w:r>
    </w:p>
    <w:bookmarkStart w:name="f-7220" w:id="58"/>
    <w:bookmarkStart w:name="f-7220-1" w:id="59"/>
    <w:p>
      <w:pPr>
        <w:pStyle w:val="Instructions"/>
      </w:pPr>
      <w:r>
        <w:rPr/>
        <w:t xml:space="preserve">Edit the </w:t>
      </w:r>
      <w:r>
        <w:rPr>
          <w:b/>
        </w:rPr>
        <w:t xml:space="preserve">Definitions</w:t>
      </w:r>
      <w:r>
        <w:rPr/>
        <w:t xml:space="preserve"> subclause to suit the project or delete if not required. List alphabetically.</w:t>
      </w:r>
    </w:p>
    <w:bookmarkEnd w:id="59"/>
    <w:bookmarkEnd w:id="58"/>
    <w:bookmarkEnd w:id="56"/>
    <w:bookmarkStart w:name="f-10034-11" w:id="60"/>
    <w:p>
      <w:pPr>
        <w:pStyle w:val="Heading3"/>
      </w:pPr>
      <w:bookmarkStart w:name="h-10034-11" w:id="61"/>
      <w:r>
        <w:rPr/>
        <w:t xml:space="preserve">SUBMISSIONS</w:t>
      </w:r>
      <w:bookmarkEnd w:id="61"/>
    </w:p>
    <w:bookmarkEnd w:id="60"/>
    <w:bookmarkStart w:name="f-10034-12" w:id="62"/>
    <w:p>
      <w:pPr>
        <w:pStyle w:val="Heading4"/>
      </w:pPr>
      <w:bookmarkStart w:name="h-10034-12" w:id="63"/>
      <w:r>
        <w:rPr/>
        <w:t xml:space="preserve">Certification</w:t>
      </w:r>
      <w:bookmarkEnd w:id="63"/>
    </w:p>
    <w:p>
      <w:pPr>
        <w:pStyle w:val="Body Text"/>
      </w:pPr>
      <w:r>
        <w:rPr/>
        <w:t xml:space="preserve">Installation: On completion, submit certificate to AS 3660.1 (2014) clause A3.</w:t>
      </w:r>
    </w:p>
    <w:bookmarkEnd w:id="62"/>
    <w:bookmarkStart w:name="f-10034-13" w:id="64"/>
    <w:bookmarkStart w:name="f-6950" w:id="65"/>
    <w:bookmarkStart w:name="f-6950-1" w:id="66"/>
    <w:p>
      <w:pPr>
        <w:pStyle w:val="Heading4"/>
      </w:pPr>
      <w:bookmarkStart w:name="h-6950-1" w:id="67"/>
      <w:r>
        <w:rPr/>
        <w:t xml:space="preserve">Operation and maintenance manuals</w:t>
      </w:r>
      <w:bookmarkEnd w:id="67"/>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6"/>
    <w:bookmarkEnd w:id="65"/>
    <w:bookmarkEnd w:id="64"/>
    <w:bookmarkStart w:name="f-10034-14" w:id="68"/>
    <w:p>
      <w:pPr>
        <w:pStyle w:val="Heading4"/>
      </w:pPr>
      <w:bookmarkStart w:name="h-10034-14" w:id="69"/>
      <w:r>
        <w:rPr/>
        <w:t xml:space="preserve">Products and materials</w:t>
      </w:r>
      <w:bookmarkEnd w:id="69"/>
    </w:p>
    <w:p>
      <w:pPr>
        <w:pStyle w:val="Body Text"/>
      </w:pPr>
      <w:r>
        <w:rPr/>
        <w:t xml:space="preserve">Manufacturer's data: Submit manufacturer’s data including the following:</w:t>
      </w:r>
    </w:p>
    <w:p>
      <w:pPr>
        <w:pStyle w:val="NormalIndent"/>
      </w:pPr>
      <w:r>
        <w:rPr/>
        <w:t xml:space="preserve">Product data sheet.</w:t>
      </w:r>
    </w:p>
    <w:p>
      <w:pPr>
        <w:pStyle w:val="NormalIndent"/>
      </w:pPr>
      <w:r>
        <w:rPr/>
        <w:t xml:space="preserve">Recommendations for installation.</w:t>
      </w:r>
    </w:p>
    <w:p>
      <w:pPr>
        <w:pStyle w:val="Body Text"/>
      </w:pPr>
      <w:r>
        <w:rPr/>
        <w:t xml:space="preserve">Type tests: Submit test results of the following:</w:t>
      </w:r>
    </w:p>
    <w:p>
      <w:pPr>
        <w:pStyle w:val="NormalIndent"/>
      </w:pPr>
      <w:r>
        <w:rPr/>
        <w:t xml:space="preserve">Termite management systems: To PRODUCTS, </w:t>
      </w:r>
      <w:r>
        <w:rPr>
          <w:b/>
        </w:rPr>
        <w:t xml:space="preserve">GENERAL</w:t>
      </w:r>
      <w:r>
        <w:rPr/>
        <w:t xml:space="preserve">, </w:t>
      </w:r>
      <w:r>
        <w:rPr>
          <w:b/>
        </w:rPr>
        <w:t xml:space="preserve">Tests</w:t>
      </w:r>
      <w:r>
        <w:rPr/>
        <w:t xml:space="preserve">.</w:t>
      </w:r>
    </w:p>
    <w:bookmarkStart w:name="f-8391" w:id="70"/>
    <w:bookmarkStart w:name="f-8391-1" w:id="71"/>
    <w:p>
      <w:pPr>
        <w:pStyle w:val="Instructions"/>
      </w:pPr>
      <w:r>
        <w:rPr/>
        <w:t xml:space="preserve">Type tests are carried out off-site. However, submission of evidence of a successful type test may be called up here for requirements specified in PRODUCTS.</w:t>
      </w:r>
    </w:p>
    <w:bookmarkEnd w:id="71"/>
    <w:bookmarkEnd w:id="70"/>
    <w:bookmarkEnd w:id="68"/>
    <w:bookmarkStart w:name="f-10034-15" w:id="72"/>
    <w:p>
      <w:pPr>
        <w:pStyle w:val="Heading4"/>
      </w:pPr>
      <w:bookmarkStart w:name="h-10034-15" w:id="73"/>
      <w:r>
        <w:rPr/>
        <w:t xml:space="preserve">Records</w:t>
      </w:r>
      <w:bookmarkEnd w:id="73"/>
    </w:p>
    <w:p>
      <w:pPr>
        <w:pStyle w:val="Body Text"/>
      </w:pPr>
      <w:r>
        <w:rPr/>
        <w:t xml:space="preserve">Record drawings: Submit drawings identifying the locations of the installed system.</w:t>
      </w:r>
    </w:p>
    <w:p>
      <w:pPr>
        <w:pStyle w:val="Body Text"/>
      </w:pPr>
      <w:r>
        <w:rPr/>
        <w:t xml:space="preserve">Maintenance inspection: Submit report to </w:t>
      </w:r>
      <w:r>
        <w:rPr>
          <w:b/>
        </w:rPr>
        <w:t xml:space="preserve">MAINTENANCE</w:t>
      </w:r>
      <w:r>
        <w:rPr/>
        <w:t xml:space="preserve">, </w:t>
      </w:r>
      <w:r>
        <w:rPr>
          <w:b/>
        </w:rPr>
        <w:t xml:space="preserve">Inspection</w:t>
      </w:r>
      <w:r>
        <w:rPr/>
        <w:t xml:space="preserve">.</w:t>
      </w:r>
    </w:p>
    <w:p>
      <w:pPr>
        <w:pStyle w:val="Instructions"/>
      </w:pPr>
      <w:r>
        <w:rPr/>
        <w:t xml:space="preserve">Edit, as appropriate.</w:t>
      </w:r>
    </w:p>
    <w:bookmarkEnd w:id="72"/>
    <w:bookmarkStart w:name="f-10034-16" w:id="74"/>
    <w:p>
      <w:pPr>
        <w:pStyle w:val="Heading4"/>
      </w:pPr>
      <w:bookmarkStart w:name="h-10034-16" w:id="75"/>
      <w:r>
        <w:rPr/>
        <w:t xml:space="preserve">Subcontractors</w:t>
      </w:r>
      <w:bookmarkEnd w:id="75"/>
    </w:p>
    <w:p>
      <w:pPr>
        <w:pStyle w:val="Body Text"/>
      </w:pPr>
      <w:r>
        <w:rPr/>
        <w:t xml:space="preserve">General: Submit names and contact details of TERMIMESH SYSTEM accredited applicators.</w:t>
      </w:r>
    </w:p>
    <w:p>
      <w:pPr>
        <w:pStyle w:val="Instructions"/>
      </w:pPr>
      <w:r>
        <w:rPr/>
        <w:t xml:space="preserve">There are 7 levels of accreditation from Level 1 Trainee to Level 7 System Development and Assessor. For an accredited subcontractor list, contact your local TERMIMESH office. See </w:t>
      </w:r>
      <w:r>
        <w:fldChar w:fldCharType="begin"/>
      </w:r>
      <w:r>
        <w:instrText xml:space="preserve"> HYPERLINK "https://www.termihc.com.au/termimesh/" </w:instrText>
      </w:r>
      <w:r>
        <w:fldChar w:fldCharType="separate"/>
      </w:r>
      <w:r>
        <w:rPr>
          <w:rStyle w:val="Hyperlink"/>
        </w:rPr>
        <w:t>www.termihc.com.au/termimesh</w:t>
      </w:r>
      <w:r>
        <w:fldChar w:fldCharType="end"/>
      </w:r>
      <w:r>
        <w:rPr/>
        <w:t xml:space="preserve">.</w:t>
      </w:r>
    </w:p>
    <w:p>
      <w:pPr>
        <w:pStyle w:val="Instructions"/>
      </w:pPr>
      <w:r>
        <w:rPr/>
        <w:t xml:space="preserve">Delete if applicator details are not required.</w:t>
      </w:r>
    </w:p>
    <w:bookmarkEnd w:id="74"/>
    <w:bookmarkStart w:name="f-10034-18" w:id="76"/>
    <w:bookmarkStart w:name="f-9452" w:id="77"/>
    <w:bookmarkStart w:name="f-9452-1" w:id="78"/>
    <w:p>
      <w:pPr>
        <w:pStyle w:val="Heading4"/>
      </w:pPr>
      <w:bookmarkStart w:name="h-9452-1" w:id="79"/>
      <w:r>
        <w:rPr/>
        <w:t xml:space="preserve">Warranties</w:t>
      </w:r>
      <w:bookmarkEnd w:id="7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78"/>
    <w:bookmarkEnd w:id="77"/>
    <w:bookmarkEnd w:id="76"/>
    <w:bookmarkStart w:name="f-10034-19" w:id="80"/>
    <w:p>
      <w:pPr>
        <w:pStyle w:val="Heading3"/>
      </w:pPr>
      <w:bookmarkStart w:name="h-10034-19" w:id="81"/>
      <w:r>
        <w:rPr/>
        <w:t xml:space="preserve">INSPECTION</w:t>
      </w:r>
      <w:bookmarkEnd w:id="81"/>
    </w:p>
    <w:bookmarkEnd w:id="80"/>
    <w:bookmarkStart w:name="f-10034-20" w:id="82"/>
    <w:p>
      <w:pPr>
        <w:pStyle w:val="Heading4"/>
      </w:pPr>
      <w:bookmarkStart w:name="h-10034-20" w:id="83"/>
      <w:r>
        <w:rPr/>
        <w:t xml:space="preserve">Notice</w:t>
      </w:r>
      <w:bookmarkEnd w:id="83"/>
    </w:p>
    <w:p>
      <w:pPr>
        <w:pStyle w:val="Body Text"/>
      </w:pPr>
      <w:r>
        <w:rPr/>
        <w:t xml:space="preserve">Inspection: Give notice so that inspection may be made of the following:</w:t>
      </w:r>
    </w:p>
    <w:p>
      <w:pPr>
        <w:pStyle w:val="NormalIndent"/>
      </w:pPr>
      <w:r>
        <w:rPr/>
        <w:t xml:space="preserve">Completed earthworks or substrate preparation before system installation.</w:t>
      </w:r>
    </w:p>
    <w:p>
      <w:pPr>
        <w:pStyle w:val="NormalIndent"/>
      </w:pPr>
      <w:r>
        <w:rPr/>
        <w:t xml:space="preserve">Set-out for installation of the TERMIMESH SYSTEM to control joints and all penetrations to the slab.</w:t>
      </w:r>
    </w:p>
    <w:p>
      <w:pPr>
        <w:pStyle w:val="NormalIndent"/>
      </w:pPr>
      <w:r>
        <w:rPr/>
        <w:t xml:space="preserve">Retaining walls after application of any waterproofing membrane.</w:t>
      </w:r>
    </w:p>
    <w:p>
      <w:pPr>
        <w:pStyle w:val="NormalIndent"/>
      </w:pPr>
      <w:r>
        <w:rPr/>
        <w:t xml:space="preserve">Building perimeter before installation of external brickwork, cladding or applied finishes.</w:t>
      </w:r>
    </w:p>
    <w:p>
      <w:pPr>
        <w:pStyle w:val="NormalIndent"/>
      </w:pPr>
      <w:r>
        <w:rPr/>
        <w:t xml:space="preserve">Completed termite management system before concealing.</w:t>
      </w:r>
    </w:p>
    <w:p>
      <w:pPr>
        <w:pStyle w:val="NormalIndent"/>
      </w:pPr>
      <w:r>
        <w:rPr/>
        <w:t xml:space="preserve">Termite management system at the end of the defects liability period.</w:t>
      </w:r>
    </w:p>
    <w:p>
      <w:pPr>
        <w:pStyle w:val="Instructions"/>
      </w:pPr>
      <w:r>
        <w:rPr/>
        <w:t xml:space="preserve">Edit to suit the project, adding critical stage inspections required.</w:t>
      </w:r>
    </w:p>
    <w:p>
      <w:pPr>
        <w:pStyle w:val="Instructions"/>
      </w:pPr>
      <w:r>
        <w:rPr>
          <w:b/>
        </w:rPr>
        <w:t xml:space="preserve">Hold point</w:t>
      </w:r>
      <w:r>
        <w:rPr>
          <w:b/>
        </w:rPr>
        <w:t xml:space="preserve">s</w:t>
      </w:r>
      <w:r>
        <w:rPr/>
        <w:t xml:space="preserve">, if required, should be inserted here.</w:t>
      </w:r>
    </w:p>
    <w:bookmarkEnd w:id="82"/>
    <w:bookmarkEnd w:id="24"/>
    <w:bookmarkStart w:name="f-10033" w:id="84"/>
    <w:bookmarkStart w:name="f-10033-1" w:id="85"/>
    <w:p>
      <w:pPr>
        <w:pStyle w:val="Heading2"/>
      </w:pPr>
      <w:bookmarkStart w:name="h-10033-1" w:id="86"/>
      <w:r>
        <w:rPr/>
        <w:t xml:space="preserve">PRODUCTS</w:t>
      </w:r>
      <w:bookmarkEnd w:id="86"/>
    </w:p>
    <w:bookmarkEnd w:id="85"/>
    <w:bookmarkStart w:name="f-10033-10033.2" w:id="87"/>
    <w:p>
      <w:pPr>
        <w:pStyle w:val="Heading3"/>
      </w:pPr>
      <w:bookmarkStart w:name="h-10033-10033.2" w:id="88"/>
      <w:r>
        <w:rPr/>
        <w:t xml:space="preserve">GENERAL</w:t>
      </w:r>
      <w:bookmarkEnd w:id="88"/>
    </w:p>
    <w:bookmarkEnd w:id="87"/>
    <w:bookmarkStart w:name="f-10033-10033.1" w:id="89"/>
    <w:bookmarkStart w:name="f-8385" w:id="90"/>
    <w:bookmarkStart w:name="f-8385-2" w:id="91"/>
    <w:p>
      <w:pPr>
        <w:pStyle w:val="Heading4"/>
      </w:pPr>
      <w:bookmarkStart w:name="h-8385-2" w:id="92"/>
      <w:r>
        <w:rPr/>
        <w:t xml:space="preserve">Product substitution</w:t>
      </w:r>
      <w:bookmarkEnd w:id="9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1"/>
    <w:bookmarkStart w:name="f-8385-3" w:id="9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93"/>
    <w:bookmarkEnd w:id="90"/>
    <w:bookmarkEnd w:id="89"/>
    <w:bookmarkStart w:name="f-10033-10033.3" w:id="94"/>
    <w:bookmarkStart w:name="f-13182" w:id="95"/>
    <w:bookmarkStart w:name="f-13182-1" w:id="96"/>
    <w:p>
      <w:pPr>
        <w:pStyle w:val="Heading4"/>
      </w:pPr>
      <w:bookmarkStart w:name="h-13182-1" w:id="97"/>
      <w:r>
        <w:rPr/>
        <w:t xml:space="preserve">Product identification</w:t>
      </w:r>
      <w:bookmarkEnd w:id="9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96"/>
    <w:bookmarkEnd w:id="95"/>
    <w:bookmarkEnd w:id="94"/>
    <w:bookmarkStart w:name="f-10033-10033.9" w:id="98"/>
    <w:p>
      <w:pPr>
        <w:pStyle w:val="Heading4"/>
      </w:pPr>
      <w:bookmarkStart w:name="h-10033-10033.9" w:id="99"/>
      <w:r>
        <w:rPr/>
        <w:t xml:space="preserve">Tests</w:t>
      </w:r>
      <w:bookmarkEnd w:id="99"/>
    </w:p>
    <w:bookmarkStart w:name="f-22751" w:id="100"/>
    <w:bookmarkStart w:name="f-22751-1" w:id="101"/>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bookmarkEnd w:id="101"/>
    <w:bookmarkEnd w:id="100"/>
    <w:p>
      <w:pPr>
        <w:pStyle w:val="Body Text"/>
      </w:pPr>
      <w:r>
        <w:rPr/>
        <w:t xml:space="preserve">Standard: To AS 3660.3 (2014).</w:t>
      </w:r>
    </w:p>
    <w:bookmarkEnd w:id="98"/>
    <w:bookmarkStart w:name="f-10033-10033.4" w:id="102"/>
    <w:p>
      <w:pPr>
        <w:pStyle w:val="Heading3"/>
      </w:pPr>
      <w:bookmarkStart w:name="h-10033-10033.4" w:id="103"/>
      <w:r>
        <w:rPr/>
        <w:t xml:space="preserve">TERMIMESH SYSTEM</w:t>
      </w:r>
      <w:bookmarkEnd w:id="103"/>
    </w:p>
    <w:p>
      <w:pPr>
        <w:pStyle w:val="Instructions"/>
      </w:pPr>
      <w:r>
        <w:rPr/>
        <w:t xml:space="preserve">Application: Poison-free tested and CodeMark certified termite protection system that creates an impenetrable barrier to subterranean termites including:</w:t>
      </w:r>
    </w:p>
    <w:p>
      <w:pPr>
        <w:pStyle w:val="Instructionsindent"/>
      </w:pPr>
      <w:r>
        <w:rPr/>
        <w:t xml:space="preserve">Concrete slab poured and cured to AS 2870 (2011) or AS 3600 (2018).</w:t>
      </w:r>
    </w:p>
    <w:p>
      <w:pPr>
        <w:pStyle w:val="Instructionsindent"/>
      </w:pPr>
      <w:r>
        <w:rPr/>
        <w:t xml:space="preserve">Vertical slab penetrations.</w:t>
      </w:r>
    </w:p>
    <w:p>
      <w:pPr>
        <w:pStyle w:val="Instructionsindent"/>
      </w:pPr>
      <w:r>
        <w:rPr/>
        <w:t xml:space="preserve">Construction joints and control joints.</w:t>
      </w:r>
    </w:p>
    <w:p>
      <w:pPr>
        <w:pStyle w:val="Instructionsindent"/>
      </w:pPr>
      <w:r>
        <w:rPr/>
        <w:t xml:space="preserve">Building perimeters.</w:t>
      </w:r>
    </w:p>
    <w:p>
      <w:pPr>
        <w:pStyle w:val="Instructionsindent"/>
      </w:pPr>
      <w:r>
        <w:rPr/>
        <w:t xml:space="preserve">As a complete termite protection system.</w:t>
      </w:r>
    </w:p>
    <w:bookmarkEnd w:id="102"/>
    <w:bookmarkStart w:name="f-10033-10033.5" w:id="104"/>
    <w:p>
      <w:pPr>
        <w:pStyle w:val="Heading4"/>
      </w:pPr>
      <w:bookmarkStart w:name="h-10033-10033.5" w:id="105"/>
      <w:r>
        <w:rPr/>
        <w:t xml:space="preserve">General</w:t>
      </w:r>
      <w:bookmarkEnd w:id="105"/>
    </w:p>
    <w:p>
      <w:pPr>
        <w:pStyle w:val="Body Text"/>
      </w:pPr>
      <w:r>
        <w:rPr/>
        <w:t xml:space="preserve">Description: A physical termite barrier comprising TERMIMESH TMA725 woven stainless steel mesh.</w:t>
      </w:r>
    </w:p>
    <w:p>
      <w:pPr>
        <w:pStyle w:val="Instructions"/>
      </w:pPr>
      <w:r>
        <w:rPr/>
        <w:t xml:space="preserve">The TERMIMESH SYSTEM can be used to protect building perimeters, retaining walls, construction joints and all other termite entry points.</w:t>
      </w:r>
    </w:p>
    <w:p>
      <w:pPr>
        <w:pStyle w:val="Body Text"/>
      </w:pPr>
      <w:r>
        <w:rPr/>
        <w:t xml:space="preserve">Termite caps and sheeting: To AS 3660.1 (2014) Section 5.</w:t>
      </w:r>
    </w:p>
    <w:p>
      <w:pPr>
        <w:pStyle w:val="Body Text"/>
      </w:pPr>
      <w:r>
        <w:rPr/>
        <w:t xml:space="preserve">Collars: To AS 3660.1 (2014) clauses 4.3.2.4.2 and 5.3.6.</w:t>
      </w:r>
    </w:p>
    <w:p>
      <w:pPr>
        <w:pStyle w:val="Body Text"/>
      </w:pPr>
      <w:r>
        <w:rPr/>
        <w:t xml:space="preserve">Certification: CodeMark certificate CM30012.</w:t>
      </w:r>
    </w:p>
    <w:p>
      <w:pPr>
        <w:pStyle w:val="Instructions"/>
      </w:pPr>
      <w:r>
        <w:rPr/>
        <w:t xml:space="preserve">The date of expiry of this CodeMark Certificate of Conformity is 07/04/2026.</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bookmarkEnd w:id="104"/>
    <w:bookmarkStart w:name="f-10033-10033.7" w:id="106"/>
    <w:p>
      <w:pPr>
        <w:pStyle w:val="Heading4"/>
      </w:pPr>
      <w:bookmarkStart w:name="h-10033-10033.7" w:id="107"/>
      <w:r>
        <w:rPr/>
        <w:t xml:space="preserve">TERMIMESH TMA725 woven stainless steel mesh</w:t>
      </w:r>
      <w:bookmarkEnd w:id="107"/>
    </w:p>
    <w:p>
      <w:pPr>
        <w:pStyle w:val="Body Text"/>
      </w:pPr>
      <w:r>
        <w:rPr/>
        <w:t xml:space="preserve">Description: Stainless steel mesh, woven from nominal 0.18 mm TERMIMESH TMA725 stainless steel diameter wire and tested to AS 3660.3 (2014).</w:t>
      </w:r>
    </w:p>
    <w:p>
      <w:pPr>
        <w:pStyle w:val="Instructions"/>
      </w:pPr>
      <w:r>
        <w:rPr/>
        <w:t xml:space="preserve">TERMIMESH TMA725 is an austenitic grade of stainless steel with a molybdenum content of more than twice that of typical Type 316 stainless steel to provide optimal corrosion resistance.</w:t>
      </w:r>
    </w:p>
    <w:p>
      <w:pPr>
        <w:pStyle w:val="Instructions"/>
      </w:pPr>
      <w:r>
        <w:rPr/>
        <w:t xml:space="preserve">TERMIMESH TMA725 stainless steel can be woven to achieve:</w:t>
      </w:r>
    </w:p>
    <w:p>
      <w:pPr>
        <w:pStyle w:val="Instructionsindent"/>
      </w:pPr>
      <w:r>
        <w:rPr/>
        <w:t xml:space="preserve">For areas without Heterotermes vagus an aperture size of 0.45 x 0.66 mm (40 wires per inch by 30 wires per inch).</w:t>
      </w:r>
    </w:p>
    <w:p>
      <w:pPr>
        <w:pStyle w:val="Instructionsindent"/>
      </w:pPr>
      <w:r>
        <w:rPr/>
        <w:t xml:space="preserve">For protection against Heterotermes vagus, an aperture size of 0.45 x 0.45 mm (40 wires per inch by 40 wires per inch).</w:t>
      </w:r>
    </w:p>
    <w:bookmarkEnd w:id="106"/>
    <w:bookmarkStart w:name="f-10033-10033.6" w:id="108"/>
    <w:p>
      <w:pPr>
        <w:pStyle w:val="Heading4"/>
      </w:pPr>
      <w:bookmarkStart w:name="h-10033-10033.6" w:id="109"/>
      <w:r>
        <w:rPr/>
        <w:t xml:space="preserve">Termiparge</w:t>
      </w:r>
      <w:bookmarkEnd w:id="109"/>
    </w:p>
    <w:p>
      <w:pPr>
        <w:pStyle w:val="Body Text"/>
      </w:pPr>
      <w:r>
        <w:rPr/>
        <w:t xml:space="preserve">Description: Specially formulated termite resistant adhesive cement used to bond the mesh to concrete, masonry or other termite resistant substrates and tested to AS 3660.3 (2014).</w:t>
      </w:r>
    </w:p>
    <w:p>
      <w:pPr>
        <w:pStyle w:val="Instructions"/>
      </w:pPr>
      <w:r>
        <w:rPr/>
        <w:t xml:space="preserve">Termiparge is a proprietary specially formulated termite resistant adhesive cement used to bond TERMIMESH to masonry, concrete and other substrates.</w:t>
      </w:r>
    </w:p>
    <w:bookmarkEnd w:id="108"/>
    <w:bookmarkStart w:name="f-10033-10033.8" w:id="110"/>
    <w:p>
      <w:pPr>
        <w:pStyle w:val="Heading4"/>
      </w:pPr>
      <w:bookmarkStart w:name="h-10033-10033.8" w:id="111"/>
      <w:r>
        <w:rPr/>
        <w:t xml:space="preserve">Termiflange</w:t>
      </w:r>
      <w:bookmarkEnd w:id="111"/>
    </w:p>
    <w:p>
      <w:pPr>
        <w:pStyle w:val="Body Text"/>
      </w:pPr>
      <w:r>
        <w:rPr/>
        <w:t xml:space="preserve">Description: Prefabricated TERMIMESH TMA725 woven stainless steel mesh with stainless steel clamps.</w:t>
      </w:r>
    </w:p>
    <w:p>
      <w:pPr>
        <w:pStyle w:val="Instructions"/>
      </w:pPr>
      <w:r>
        <w:rPr/>
        <w:t xml:space="preserve">Termiflange is a prefabricated collar formed from the TM2 stainless steel mesh and is used in conjunction with TERMIMESH clamps to seal around pipe and cable penetrations in slabs. Termiflange is either embedded in the slab or bonded to the slab surface using Termiparge. Termiflange may also be fabricated on-site to suit non-standard penetrations or pipe clusters.</w:t>
      </w:r>
    </w:p>
    <w:bookmarkEnd w:id="110"/>
    <w:bookmarkEnd w:id="84"/>
    <w:bookmarkStart w:name="f-10037" w:id="112"/>
    <w:bookmarkStart w:name="f-10037-1" w:id="113"/>
    <w:p>
      <w:pPr>
        <w:pStyle w:val="Heading2"/>
      </w:pPr>
      <w:bookmarkStart w:name="h-10037-1" w:id="114"/>
      <w:r>
        <w:rPr/>
        <w:t xml:space="preserve">EXECUTION</w:t>
      </w:r>
      <w:bookmarkEnd w:id="114"/>
    </w:p>
    <w:bookmarkEnd w:id="113"/>
    <w:bookmarkStart w:name="f-10037-2" w:id="115"/>
    <w:p>
      <w:pPr>
        <w:pStyle w:val="Heading3"/>
      </w:pPr>
      <w:bookmarkStart w:name="h-10037-2" w:id="116"/>
      <w:r>
        <w:rPr/>
        <w:t xml:space="preserve">GENERAL</w:t>
      </w:r>
      <w:bookmarkEnd w:id="116"/>
    </w:p>
    <w:bookmarkEnd w:id="115"/>
    <w:bookmarkStart w:name="f-10037-3" w:id="117"/>
    <w:p>
      <w:pPr>
        <w:pStyle w:val="Heading4"/>
      </w:pPr>
      <w:bookmarkStart w:name="h-10037-3" w:id="118"/>
      <w:r>
        <w:rPr/>
        <w:t xml:space="preserve">Concrete slabs</w:t>
      </w:r>
      <w:bookmarkEnd w:id="118"/>
    </w:p>
    <w:p>
      <w:pPr>
        <w:pStyle w:val="Body Text"/>
      </w:pPr>
      <w:r>
        <w:rPr/>
        <w:t xml:space="preserve">Standard: To AS 3660.1 (2014) Section 4.</w:t>
      </w:r>
    </w:p>
    <w:bookmarkEnd w:id="117"/>
    <w:bookmarkStart w:name="f-10037-10037.1" w:id="119"/>
    <w:p>
      <w:pPr>
        <w:pStyle w:val="Heading3"/>
      </w:pPr>
      <w:bookmarkStart w:name="h-10037-10037.1" w:id="120"/>
      <w:r>
        <w:rPr/>
        <w:t xml:space="preserve">TERMIMESH SYSTEM</w:t>
      </w:r>
      <w:bookmarkEnd w:id="120"/>
    </w:p>
    <w:bookmarkEnd w:id="119"/>
    <w:bookmarkStart w:name="f-10037-10037.2" w:id="121"/>
    <w:p>
      <w:pPr>
        <w:pStyle w:val="Heading4"/>
      </w:pPr>
      <w:bookmarkStart w:name="h-10037-10037.2" w:id="122"/>
      <w:r>
        <w:rPr/>
        <w:t xml:space="preserve">Termite caps and sheeting</w:t>
      </w:r>
      <w:bookmarkEnd w:id="122"/>
    </w:p>
    <w:p>
      <w:pPr>
        <w:pStyle w:val="Body Text"/>
      </w:pPr>
      <w:r>
        <w:rPr/>
        <w:t xml:space="preserve">Standard: To AS 3660.1 (2014) Section 5.</w:t>
      </w:r>
    </w:p>
    <w:bookmarkEnd w:id="121"/>
    <w:bookmarkStart w:name="f-10037-10037.3" w:id="123"/>
    <w:p>
      <w:pPr>
        <w:pStyle w:val="Heading4"/>
      </w:pPr>
      <w:bookmarkStart w:name="h-10037-10037.3" w:id="124"/>
      <w:r>
        <w:rPr/>
        <w:t xml:space="preserve">Installation</w:t>
      </w:r>
      <w:bookmarkEnd w:id="124"/>
    </w:p>
    <w:p>
      <w:pPr>
        <w:pStyle w:val="Body Text"/>
      </w:pPr>
      <w:r>
        <w:rPr/>
        <w:t xml:space="preserve">Requirement: Conform to the manufacturer's recommendations and the TERMIMESH SYSTEM recommendations using only TERMIMESH personnel or accredited installers</w:t>
      </w:r>
      <w:r>
        <w:rPr>
          <w:i/>
        </w:rPr>
        <w:t xml:space="preserve">.</w:t>
      </w:r>
    </w:p>
    <w:bookmarkEnd w:id="123"/>
    <w:bookmarkStart w:name="f-10037-10037.4" w:id="125"/>
    <w:p>
      <w:pPr>
        <w:pStyle w:val="Heading4"/>
      </w:pPr>
      <w:bookmarkStart w:name="h-10037-10037.4" w:id="126"/>
      <w:r>
        <w:rPr/>
        <w:t xml:space="preserve">Slab penetrations</w:t>
      </w:r>
      <w:bookmarkEnd w:id="126"/>
    </w:p>
    <w:p>
      <w:pPr>
        <w:pStyle w:val="Body Text"/>
      </w:pPr>
      <w:r>
        <w:rPr/>
        <w:t xml:space="preserve">Slab penetrations: Fit Termiflanges to all service penetrations through the slab before pouring the concrete slab.</w:t>
      </w:r>
    </w:p>
    <w:p>
      <w:pPr>
        <w:pStyle w:val="Body Text"/>
      </w:pPr>
      <w:r>
        <w:rPr/>
        <w:t xml:space="preserve">Multiple or clustered penetrations: Fabricate Termiflanges on site to TERMIMESH's recommendations and to AS 3660.1 (2014).</w:t>
      </w:r>
    </w:p>
    <w:bookmarkEnd w:id="125"/>
    <w:bookmarkStart w:name="f-10037-11" w:id="127"/>
    <w:p>
      <w:pPr>
        <w:pStyle w:val="Heading3"/>
      </w:pPr>
      <w:bookmarkStart w:name="h-10037-11" w:id="128"/>
      <w:r>
        <w:rPr/>
        <w:t xml:space="preserve">COMPLETION</w:t>
      </w:r>
      <w:bookmarkEnd w:id="128"/>
    </w:p>
    <w:bookmarkEnd w:id="127"/>
    <w:bookmarkStart w:name="f-10037-12" w:id="129"/>
    <w:p>
      <w:pPr>
        <w:pStyle w:val="Heading4"/>
      </w:pPr>
      <w:bookmarkStart w:name="h-10037-12" w:id="130"/>
      <w:r>
        <w:rPr/>
        <w:t xml:space="preserve">Termite management system notice</w:t>
      </w:r>
      <w:bookmarkEnd w:id="130"/>
    </w:p>
    <w:p>
      <w:pPr>
        <w:pStyle w:val="Body Text"/>
      </w:pPr>
      <w:r>
        <w:rPr/>
        <w:t xml:space="preserve">Signage: Permanently fix a durable notice in a prominent location to BCA (2022) B1D4(i)(ii).</w:t>
      </w:r>
    </w:p>
    <w:p>
      <w:pPr>
        <w:pStyle w:val="Instructions"/>
      </w:pPr>
      <w:r>
        <w:rPr/>
        <w:t xml:space="preserve">See BCA (2022) H1D3(3) for Class 1 and 10 buildings.</w:t>
      </w:r>
    </w:p>
    <w:p>
      <w:pPr>
        <w:pStyle w:val="Instructions"/>
      </w:pPr>
      <w:r>
        <w:rPr/>
        <w:t xml:space="preserve">This sign is nominated in </w:t>
      </w:r>
      <w:r>
        <w:rPr>
          <w:i/>
        </w:rPr>
        <w:t xml:space="preserve">0581 Signage</w:t>
      </w:r>
      <w:r>
        <w:rPr/>
        <w:t xml:space="preserve"> for statutory signs. If </w:t>
      </w:r>
      <w:r>
        <w:rPr>
          <w:i/>
        </w:rPr>
        <w:t xml:space="preserve">0581 Signage</w:t>
      </w:r>
      <w:r>
        <w:rPr/>
        <w:t xml:space="preserve"> is included in the project specification delete and cross reference as appropriate.</w:t>
      </w:r>
    </w:p>
    <w:bookmarkEnd w:id="129"/>
    <w:bookmarkStart w:name="f-10037-13" w:id="131"/>
    <w:p>
      <w:pPr>
        <w:pStyle w:val="Heading4"/>
      </w:pPr>
      <w:bookmarkStart w:name="h-10037-13" w:id="132"/>
      <w:r>
        <w:rPr/>
        <w:t xml:space="preserve">Cleaning</w:t>
      </w:r>
      <w:bookmarkEnd w:id="132"/>
    </w:p>
    <w:p>
      <w:pPr>
        <w:pStyle w:val="Body Text"/>
      </w:pPr>
      <w:r>
        <w:rPr/>
        <w:t xml:space="preserve">Requirement: Clean progressively and remove from the site waste building materials that could attract termites.</w:t>
      </w:r>
    </w:p>
    <w:bookmarkEnd w:id="131"/>
    <w:bookmarkStart w:name="f-10037-18" w:id="133"/>
    <w:p>
      <w:pPr>
        <w:pStyle w:val="Heading4"/>
      </w:pPr>
      <w:bookmarkStart w:name="h-10037-18" w:id="134"/>
      <w:r>
        <w:rPr/>
        <w:t xml:space="preserve">Operation and maintenance manuals</w:t>
      </w:r>
      <w:bookmarkEnd w:id="134"/>
    </w:p>
    <w:p>
      <w:pPr>
        <w:pStyle w:val="Body Text"/>
      </w:pPr>
      <w:r>
        <w:rPr/>
        <w:t xml:space="preserve">Requirement: For systems requiring post-construction monitoring, prepare a maintenance manual that includes the following:</w:t>
      </w:r>
    </w:p>
    <w:p>
      <w:pPr>
        <w:pStyle w:val="NormalIndent"/>
      </w:pPr>
      <w:r>
        <w:rPr/>
        <w:t xml:space="preserve">Inspection frequency.</w:t>
      </w:r>
    </w:p>
    <w:p>
      <w:pPr>
        <w:pStyle w:val="Instructions"/>
      </w:pPr>
      <w:r>
        <w:rPr/>
        <w:t xml:space="preserve">For example, monthly, quarterly, annually.</w:t>
      </w:r>
    </w:p>
    <w:p>
      <w:pPr>
        <w:pStyle w:val="NormalIndent"/>
      </w:pPr>
      <w:r>
        <w:rPr/>
        <w:t xml:space="preserve">Instructions for inspection of termite activity.</w:t>
      </w:r>
    </w:p>
    <w:p>
      <w:pPr>
        <w:pStyle w:val="Instructions"/>
      </w:pPr>
      <w:r>
        <w:rPr/>
        <w:t xml:space="preserve">See AS 3660.2 (2017) Section 3.</w:t>
      </w:r>
    </w:p>
    <w:p>
      <w:pPr>
        <w:pStyle w:val="NormalIndent"/>
      </w:pPr>
      <w:r>
        <w:rPr/>
        <w:t xml:space="preserve">Contact details of manufacturer’s authorised suppliers for replacement components.</w:t>
      </w:r>
    </w:p>
    <w:p>
      <w:pPr>
        <w:pStyle w:val="Instructions"/>
      </w:pPr>
      <w:r>
        <w:rPr/>
        <w:t xml:space="preserve">Edit, as appropriate.</w:t>
      </w:r>
    </w:p>
    <w:bookmarkStart w:name="f-7476" w:id="135"/>
    <w:bookmarkStart w:name="f-7476-1" w:id="136"/>
    <w:p>
      <w:pPr>
        <w:pStyle w:val="Instructions"/>
      </w:pPr>
      <w:r>
        <w:rPr/>
        <w:t xml:space="preserve">Compliance with this subclause targets the Operations and Maintenance requirement within the Minimum Expectation level of the Verification and Handover credit in Green Star Buildings (2021).</w:t>
      </w:r>
    </w:p>
    <w:bookmarkEnd w:id="136"/>
    <w:bookmarkEnd w:id="135"/>
    <w:bookmarkEnd w:id="133"/>
    <w:bookmarkStart w:name="f-10037-14" w:id="137"/>
    <w:p>
      <w:pPr>
        <w:pStyle w:val="Heading4"/>
      </w:pPr>
      <w:bookmarkStart w:name="h-10037-14" w:id="138"/>
      <w:r>
        <w:rPr/>
        <w:t xml:space="preserve">Warranties</w:t>
      </w:r>
      <w:bookmarkEnd w:id="138"/>
    </w:p>
    <w:p>
      <w:pPr>
        <w:pStyle w:val="Body Text"/>
      </w:pPr>
      <w:r>
        <w:rPr/>
        <w:t xml:space="preserve">Requirement: Cover materials and workmanship in the terms of the warranty in the form of interlocking warranties from the supplier and installer.</w:t>
      </w:r>
    </w:p>
    <w:p>
      <w:pPr>
        <w:pStyle w:val="Body Text"/>
      </w:pPr>
      <w:r>
        <w:rPr/>
        <w:t xml:space="preserve">Commercial and residential construction:</w:t>
      </w:r>
    </w:p>
    <w:p>
      <w:pPr>
        <w:pStyle w:val="NormalIndent"/>
      </w:pPr>
      <w:r>
        <w:rPr/>
        <w:t xml:space="preserve">Warranty form: TERMIMESH Pledge Guarantee.</w:t>
      </w:r>
    </w:p>
    <w:p>
      <w:pPr>
        <w:pStyle w:val="NormalIndent"/>
      </w:pPr>
      <w:r>
        <w:rPr/>
        <w:t xml:space="preserve">Warranty period: 10 years on materials and workmanship without annual termite inspections. Extendable on a continuous basis without limit.</w:t>
      </w:r>
    </w:p>
    <w:p>
      <w:pPr>
        <w:pStyle w:val="NormalIndent"/>
      </w:pPr>
      <w:r>
        <w:rPr/>
        <w:t xml:space="preserve">Value of warranty: Unlimited for termite damage.</w:t>
      </w:r>
    </w:p>
    <w:p>
      <w:pPr>
        <w:pStyle w:val="Instructions"/>
      </w:pPr>
      <w:r>
        <w:rPr/>
        <w:t xml:space="preserve">The form(s) required should be provided as part of the contract documentation.</w:t>
      </w:r>
    </w:p>
    <w:p>
      <w:pPr>
        <w:pStyle w:val="Instructions"/>
      </w:pPr>
      <w:r>
        <w:rPr/>
        <w:t xml:space="preserve">TERMIMESH Pledge Guarantee is exclusive to the TERMIMESH SYSTEM, developed to give architects, builders and investors a superior level of security covering materials and installation.</w:t>
      </w:r>
    </w:p>
    <w:p>
      <w:pPr>
        <w:pStyle w:val="Instructions"/>
      </w:pPr>
      <w:r>
        <w:rPr/>
        <w:t xml:space="preserve">It offers a 10 year warranty on materials and workmanship and is not subject to compulsory annual termite inspections. The warranty can be extended yearly beyond 10 years with approved yearly termite inspections with no limit on the number of extension years. Design for access for inspection to AS 3660.1 (2014).</w:t>
      </w:r>
    </w:p>
    <w:p>
      <w:pPr>
        <w:pStyle w:val="Instructions"/>
      </w:pPr>
      <w:r>
        <w:rPr/>
        <w:t xml:space="preserve">For full terms and conditions, refer to </w:t>
      </w:r>
      <w:r>
        <w:fldChar w:fldCharType="begin"/>
      </w:r>
      <w:r>
        <w:instrText xml:space="preserve"> HYPERLINK "https://www.termihc.com.au/termimesh/termimesh-pledge-guarantee/" </w:instrText>
      </w:r>
      <w:r>
        <w:fldChar w:fldCharType="separate"/>
      </w:r>
      <w:r>
        <w:rPr>
          <w:rStyle w:val="Hyperlink"/>
        </w:rPr>
        <w:t>www.termihc.com.au/termimesh/termimesh-pledge-guarantee</w:t>
      </w:r>
      <w:r>
        <w:fldChar w:fldCharType="end"/>
      </w:r>
      <w:r>
        <w:rPr/>
        <w:t xml:space="preserve">.</w:t>
      </w:r>
    </w:p>
    <w:bookmarkEnd w:id="137"/>
    <w:bookmarkStart w:name="f-10037-15" w:id="139"/>
    <w:p>
      <w:pPr>
        <w:pStyle w:val="Heading3"/>
      </w:pPr>
      <w:bookmarkStart w:name="h-10037-15" w:id="140"/>
      <w:r>
        <w:rPr/>
        <w:t xml:space="preserve">MAINTENANCE</w:t>
      </w:r>
      <w:bookmarkEnd w:id="140"/>
    </w:p>
    <w:bookmarkEnd w:id="139"/>
    <w:bookmarkStart w:name="f-10037-16" w:id="141"/>
    <w:p>
      <w:pPr>
        <w:pStyle w:val="Heading4"/>
      </w:pPr>
      <w:bookmarkStart w:name="h-10037-16" w:id="142"/>
      <w:r>
        <w:rPr/>
        <w:t xml:space="preserve">Inspection</w:t>
      </w:r>
      <w:bookmarkEnd w:id="142"/>
    </w:p>
    <w:p>
      <w:pPr>
        <w:pStyle w:val="Body Text"/>
      </w:pPr>
      <w:r>
        <w:rPr/>
        <w:t xml:space="preserve">Requirement: At the end of the defects liability period, inspect the termite management system to AS 3660.2 (2017) clause 3.3.2.2. Prepare a report on the efficacy and status to AS 3660.2 (2017) clause 3.4.</w:t>
      </w:r>
    </w:p>
    <w:p>
      <w:pPr>
        <w:pStyle w:val="Instructions"/>
      </w:pPr>
      <w:r>
        <w:rPr/>
        <w:t xml:space="preserve">Annual inspections are only recommended to inspect for termite bridging and is not a requirement of the 10 year warranty period.</w:t>
      </w:r>
    </w:p>
    <w:bookmarkEnd w:id="141"/>
    <w:bookmarkEnd w:id="112"/>
    <w:bookmarkStart w:name="f-10035" w:id="143"/>
    <w:bookmarkStart w:name="f-10035-1" w:id="144"/>
    <w:p>
      <w:pPr>
        <w:pStyle w:val="Heading2"/>
      </w:pPr>
      <w:bookmarkStart w:name="h-10035-1" w:id="145"/>
      <w:r>
        <w:rPr/>
        <w:t xml:space="preserve">SELECTIONS</w:t>
      </w:r>
      <w:bookmarkEnd w:id="145"/>
    </w:p>
    <w:bookmarkEnd w:id="144"/>
    <w:bookmarkStart w:name="f-10035-10035.1" w:id="146"/>
    <w:p>
      <w:pPr>
        <w:pStyle w:val="Heading3"/>
      </w:pPr>
      <w:bookmarkStart w:name="h-10035-10035.1" w:id="147"/>
      <w:r>
        <w:rPr/>
        <w:t xml:space="preserve">TERMIMESH SYSTEM SCHEDULE</w:t>
      </w:r>
      <w:bookmarkEnd w:id="147"/>
    </w:p>
    <w:bookmarkEnd w:id="146"/>
    <w:bookmarkStart w:name="f-10035-10035.2" w:id="148"/>
    <w:p>
      <w:pPr>
        <w:pStyle w:val="Heading4"/>
      </w:pPr>
      <w:bookmarkStart w:name="h-10035-10035.2" w:id="149"/>
      <w:r>
        <w:rPr/>
        <w:t xml:space="preserve">Whole of building protection</w:t>
      </w:r>
      <w:bookmarkEnd w:id="149"/>
    </w:p>
    <w:p>
      <w:pPr>
        <w:pStyle w:val="Body Text"/>
      </w:pPr>
      <w:r>
        <w:rPr/>
        <w:t xml:space="preserve">Requirement: To the TERMIMESH SYSTEM for whole building protection.</w:t>
      </w:r>
    </w:p>
    <w:p>
      <w:pPr>
        <w:pStyle w:val="Instructions"/>
      </w:pPr>
      <w:r>
        <w:rPr/>
        <w:t xml:space="preserve">TERMIMESH offer to provide the required specification selections upon receipt of the project drawings.</w:t>
      </w:r>
    </w:p>
    <w:p>
      <w:pPr>
        <w:pStyle w:val="Instructions"/>
      </w:pPr>
      <w:r>
        <w:rPr/>
        <w:t xml:space="preserve">The TERMIMESH complete termite management system specification includes but is not limited to:</w:t>
      </w:r>
    </w:p>
    <w:p>
      <w:pPr>
        <w:pStyle w:val="Instructionsindent"/>
      </w:pPr>
      <w:r>
        <w:rPr/>
        <w:t xml:space="preserve">All slab penetrations and openings that may allow termite entry.</w:t>
      </w:r>
    </w:p>
    <w:p>
      <w:pPr>
        <w:pStyle w:val="Instructionsindent"/>
      </w:pPr>
      <w:r>
        <w:rPr/>
        <w:t xml:space="preserve">All slab joints and any areas where slab repairs or trenching may occur.</w:t>
      </w:r>
    </w:p>
    <w:p>
      <w:pPr>
        <w:pStyle w:val="Instructionsindent"/>
      </w:pPr>
      <w:r>
        <w:rPr/>
        <w:t xml:space="preserve">Retaining wall areas.</w:t>
      </w:r>
    </w:p>
    <w:p>
      <w:pPr>
        <w:pStyle w:val="Instructionsindent"/>
      </w:pPr>
      <w:r>
        <w:rPr/>
        <w:t xml:space="preserve">Perimeter protection.</w:t>
      </w:r>
    </w:p>
    <w:p>
      <w:pPr>
        <w:pStyle w:val="Instructionsindent"/>
      </w:pPr>
      <w:r>
        <w:rPr/>
        <w:t xml:space="preserve">Under suspended floors.</w:t>
      </w:r>
    </w:p>
    <w:p>
      <w:pPr>
        <w:pStyle w:val="Instructionsindent"/>
      </w:pPr>
      <w:r>
        <w:rPr/>
        <w:t xml:space="preserve">Timber poles and posts.</w:t>
      </w:r>
    </w:p>
    <w:p>
      <w:pPr>
        <w:pStyle w:val="Instructionsindent"/>
      </w:pPr>
      <w:r>
        <w:rPr/>
        <w:t xml:space="preserve">Any other concealed entry points.</w:t>
      </w:r>
    </w:p>
    <w:bookmarkEnd w:id="148"/>
    <w:bookmarkEnd w:id="143"/>
    <w:bookmarkEnd w:id="23"/>
    <w:bookmarkStart w:name="f-10038-bibliography" w:id="150"/>
    <w:bookmarkStart w:name="f-10036" w:id="151"/>
    <w:bookmarkStart w:name="f-10036-1" w:id="152"/>
    <w:p>
      <w:pPr>
        <w:pStyle w:val="InstructionsHeading4"/>
      </w:pPr>
      <w:bookmarkStart w:name="h-10036-1" w:id="153"/>
      <w:r>
        <w:rPr/>
        <w:t xml:space="preserve">REFERENCED DOCUMENTS</w:t>
      </w:r>
      <w:bookmarkEnd w:id="153"/>
    </w:p>
    <w:bookmarkEnd w:id="152"/>
    <w:p>
      <w:pPr>
        <w:pStyle w:val="Instructions"/>
      </w:pPr>
      <w:r>
        <w:rPr>
          <w:b/>
        </w:rPr>
        <w:t xml:space="preserve">The following documents are incorporated into this worksection by reference:</w:t>
      </w:r>
    </w:p>
    <w:bookmarkStart w:name="f-10036-10_03660_000-000" w:id="154"/>
    <w:p>
      <w:pPr>
        <w:pStyle w:val="Standard1"/>
      </w:pPr>
      <w:r>
        <w:rPr/>
        <w:t xml:space="preserve">AS 3660</w:t>
      </w:r>
      <w:r>
        <w:tab/>
      </w:r>
      <w:r>
        <w:tab/>
      </w:r>
      <w:r>
        <w:rPr/>
        <w:t xml:space="preserve">Termite management</w:t>
      </w:r>
    </w:p>
    <w:bookmarkEnd w:id="154"/>
    <w:bookmarkStart w:name="f-10036-10_03660_001-000_2014" w:id="155"/>
    <w:p>
      <w:pPr>
        <w:pStyle w:val="Standard2"/>
      </w:pPr>
      <w:r>
        <w:rPr/>
        <w:t xml:space="preserve">AS 3660.1</w:t>
      </w:r>
      <w:r>
        <w:tab/>
      </w:r>
      <w:r>
        <w:rPr/>
        <w:t xml:space="preserve">2014</w:t>
      </w:r>
      <w:r>
        <w:tab/>
      </w:r>
      <w:r>
        <w:rPr/>
        <w:t xml:space="preserve">New building work</w:t>
      </w:r>
    </w:p>
    <w:bookmarkEnd w:id="155"/>
    <w:bookmarkStart w:name="f-10036-10_03660_002-000_2017" w:id="156"/>
    <w:p>
      <w:pPr>
        <w:pStyle w:val="Standard2"/>
      </w:pPr>
      <w:r>
        <w:rPr/>
        <w:t xml:space="preserve">AS 3660.2</w:t>
      </w:r>
      <w:r>
        <w:tab/>
      </w:r>
      <w:r>
        <w:rPr/>
        <w:t xml:space="preserve">2017</w:t>
      </w:r>
      <w:r>
        <w:tab/>
      </w:r>
      <w:r>
        <w:rPr/>
        <w:t xml:space="preserve">In and around existing buildings and structures</w:t>
      </w:r>
    </w:p>
    <w:bookmarkEnd w:id="156"/>
    <w:bookmarkStart w:name="f-10036-10_03660_003-000_2014" w:id="157"/>
    <w:p>
      <w:pPr>
        <w:pStyle w:val="Standard2"/>
      </w:pPr>
      <w:r>
        <w:rPr/>
        <w:t xml:space="preserve">AS 3660.3</w:t>
      </w:r>
      <w:r>
        <w:tab/>
      </w:r>
      <w:r>
        <w:rPr/>
        <w:t xml:space="preserve">2014</w:t>
      </w:r>
      <w:r>
        <w:tab/>
      </w:r>
      <w:r>
        <w:rPr/>
        <w:t xml:space="preserve">Assessment criteria for termite management systems</w:t>
      </w:r>
    </w:p>
    <w:bookmarkEnd w:id="157"/>
    <w:bookmarkStart w:name="f-10036-20_NCC_B1D4_00000_2022" w:id="158"/>
    <w:p>
      <w:pPr>
        <w:pStyle w:val="Standard1"/>
      </w:pPr>
      <w:r>
        <w:rPr/>
        <w:t xml:space="preserve">BCA B1D4</w:t>
      </w:r>
      <w:r>
        <w:tab/>
      </w:r>
      <w:r>
        <w:rPr/>
        <w:t xml:space="preserve">2022</w:t>
      </w:r>
      <w:r>
        <w:tab/>
      </w:r>
      <w:r>
        <w:rPr/>
        <w:t xml:space="preserve">Structure - Structural provisions - Determination of structural resistance of materials and forms of construction</w:t>
      </w:r>
    </w:p>
    <w:bookmarkEnd w:id="158"/>
    <w:bookmarkStart w:name="f-10036-25_CM_300120_00000_2023" w:id="159"/>
    <w:p>
      <w:pPr>
        <w:pStyle w:val="Standard1"/>
      </w:pPr>
      <w:r>
        <w:rPr/>
        <w:t xml:space="preserve">CM30012</w:t>
      </w:r>
      <w:r>
        <w:tab/>
      </w:r>
      <w:r>
        <w:rPr/>
        <w:t xml:space="preserve">2024</w:t>
      </w:r>
      <w:r>
        <w:tab/>
      </w:r>
      <w:r>
        <w:rPr/>
        <w:t xml:space="preserve">Termimesh System TM2</w:t>
      </w:r>
    </w:p>
    <w:bookmarkEnd w:id="159"/>
    <w:p>
      <w:pPr>
        <w:pStyle w:val="Instructions"/>
      </w:pPr>
      <w:r>
        <w:rPr>
          <w:b/>
        </w:rPr>
        <w:t xml:space="preserve">The following documents are mentioned only in the </w:t>
      </w:r>
      <w:r>
        <w:rPr>
          <w:b/>
          <w:i/>
        </w:rPr>
        <w:t xml:space="preserve">Guidance</w:t>
      </w:r>
      <w:r>
        <w:rPr>
          <w:b/>
        </w:rPr>
        <w:t xml:space="preserve"> text:</w:t>
      </w:r>
    </w:p>
    <w:bookmarkStart w:name="f-10036-10_02870_000-000_2011" w:id="160"/>
    <w:p>
      <w:pPr>
        <w:pStyle w:val="Standard1"/>
      </w:pPr>
      <w:r>
        <w:rPr/>
        <w:t xml:space="preserve">AS 2870</w:t>
      </w:r>
      <w:r>
        <w:tab/>
      </w:r>
      <w:r>
        <w:rPr/>
        <w:t xml:space="preserve">2011</w:t>
      </w:r>
      <w:r>
        <w:tab/>
      </w:r>
      <w:r>
        <w:rPr/>
        <w:t xml:space="preserve">Residential slabs and footings</w:t>
      </w:r>
    </w:p>
    <w:bookmarkEnd w:id="160"/>
    <w:bookmarkStart w:name="f-10036-10_03600_000-000_2018" w:id="161"/>
    <w:p>
      <w:pPr>
        <w:pStyle w:val="Standard1"/>
      </w:pPr>
      <w:r>
        <w:rPr/>
        <w:t xml:space="preserve">AS 3600</w:t>
      </w:r>
      <w:r>
        <w:tab/>
      </w:r>
      <w:r>
        <w:rPr/>
        <w:t xml:space="preserve">2018</w:t>
      </w:r>
      <w:r>
        <w:tab/>
      </w:r>
      <w:r>
        <w:rPr/>
        <w:t xml:space="preserve">Concrete structures</w:t>
      </w:r>
    </w:p>
    <w:bookmarkEnd w:id="161"/>
    <w:bookmarkStart w:name="f-10036-10_04349_000-000" w:id="162"/>
    <w:p>
      <w:pPr>
        <w:pStyle w:val="Standard1"/>
      </w:pPr>
      <w:r>
        <w:rPr/>
        <w:t xml:space="preserve">AS 4349</w:t>
      </w:r>
      <w:r>
        <w:tab/>
      </w:r>
      <w:r>
        <w:tab/>
      </w:r>
      <w:r>
        <w:rPr/>
        <w:t xml:space="preserve">Inspection of buildings</w:t>
      </w:r>
    </w:p>
    <w:bookmarkEnd w:id="162"/>
    <w:bookmarkStart w:name="f-10036-10_04349_003-000_2010" w:id="163"/>
    <w:p>
      <w:pPr>
        <w:pStyle w:val="Standard2"/>
      </w:pPr>
      <w:r>
        <w:rPr/>
        <w:t xml:space="preserve">AS 4349.3</w:t>
      </w:r>
      <w:r>
        <w:tab/>
      </w:r>
      <w:r>
        <w:rPr/>
        <w:t xml:space="preserve">2010</w:t>
      </w:r>
      <w:r>
        <w:tab/>
      </w:r>
      <w:r>
        <w:rPr/>
        <w:t xml:space="preserve">Timber pest inspections</w:t>
      </w:r>
    </w:p>
    <w:bookmarkEnd w:id="163"/>
    <w:bookmarkStart w:name="f-10036-20_NCC_H1D03_00000_2022" w:id="164"/>
    <w:p>
      <w:pPr>
        <w:pStyle w:val="Standard1"/>
      </w:pPr>
      <w:r>
        <w:rPr/>
        <w:t xml:space="preserve">BCA H1D3</w:t>
      </w:r>
      <w:r>
        <w:tab/>
      </w:r>
      <w:r>
        <w:rPr/>
        <w:t xml:space="preserve">2022</w:t>
      </w:r>
      <w:r>
        <w:tab/>
      </w:r>
      <w:r>
        <w:rPr/>
        <w:t xml:space="preserve">Class 1 and 10 buildings - Structure - Site preparation</w:t>
      </w:r>
    </w:p>
    <w:bookmarkEnd w:id="164"/>
    <w:bookmarkStart w:name="f-10036-25_GBCA_Buildings_00000_2021" w:id="165"/>
    <w:p>
      <w:pPr>
        <w:pStyle w:val="Standard1"/>
      </w:pPr>
      <w:r>
        <w:rPr/>
        <w:t xml:space="preserve">GBCA Buildings</w:t>
      </w:r>
      <w:r>
        <w:tab/>
      </w:r>
      <w:r>
        <w:rPr/>
        <w:t xml:space="preserve">2021</w:t>
      </w:r>
      <w:r>
        <w:tab/>
      </w:r>
      <w:r>
        <w:rPr/>
        <w:t xml:space="preserve">Green Star Buildings</w:t>
      </w:r>
    </w:p>
    <w:bookmarkEnd w:id="165"/>
    <w:bookmarkStart w:name="f-10036-25_NATSPEC_GEN_006_00000" w:id="166"/>
    <w:p>
      <w:pPr>
        <w:pStyle w:val="Standard1"/>
      </w:pPr>
      <w:r>
        <w:rPr/>
        <w:t xml:space="preserve">NATSPEC GEN 006</w:t>
      </w:r>
      <w:r>
        <w:tab/>
      </w:r>
      <w:r>
        <w:tab/>
      </w:r>
      <w:r>
        <w:rPr/>
        <w:t xml:space="preserve">Product specifying and substitution</w:t>
      </w:r>
    </w:p>
    <w:bookmarkEnd w:id="166"/>
    <w:bookmarkStart w:name="f-10036-25_NATSPEC_TR_01_00000" w:id="167"/>
    <w:p>
      <w:pPr>
        <w:pStyle w:val="Standard1"/>
      </w:pPr>
      <w:r>
        <w:rPr/>
        <w:t xml:space="preserve">NATSPEC TR 01</w:t>
      </w:r>
      <w:r>
        <w:tab/>
      </w:r>
      <w:r>
        <w:tab/>
      </w:r>
      <w:r>
        <w:rPr/>
        <w:t xml:space="preserve">Specifying ESD</w:t>
      </w:r>
    </w:p>
    <w:bookmarkEnd w:id="167"/>
    <w:bookmarkEnd w:id="151"/>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150"/>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0184p TERMIMESH termite management.docx</dc:title>
  <cp:category>01 GENERAL</cp:category>
</cp:coreProperties>
</file>