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Override PartName="/word/webSettings.xml" ContentType="application/vnd.openxmlformats-officedocument.wordprocessingml.webSettings+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settings.xml" ContentType="application/vnd.openxmlformats-officedocument.wordprocessingml.settings+xml"/>
  <Override PartName="/word/endnotes.xml" ContentType="application/vnd.openxmlformats-officedocument.wordprocessingml.endnotes+xml"/>
  <Override PartName="/word/footer2.xml" ContentType="application/vnd.openxmlformats-officedocument.wordprocessingml.footer+xml"/>
  <Override PartName="/word/glossary/styles.xml" ContentType="application/vnd.openxmlformats-officedocument.wordprocessingml.styles+xml"/>
  <Override PartName="/word/glossary/fontTable.xml" ContentType="application/vnd.openxmlformats-officedocument.wordprocessingml.fontTable+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w:body>
    <w:bookmarkStart w:name="f-28896" w:id="0"/>
    <w:bookmarkEnd w:id="0"/>
    <w:bookmarkStart w:name="f-28896-1" w:id="1"/>
    <w:p>
      <w:pPr>
        <w:pStyle w:val="Heading1"/>
      </w:pPr>
      <w:bookmarkStart w:name="h-28896-1" w:id="2"/>
      <w:r>
        <w:rPr/>
        <w:t xml:space="preserve">0195p GUARDIAN TACTILE SYSTEMS TGSIs, nosing and ancillaries</w:t>
      </w:r>
      <w:bookmarkEnd w:id="2"/>
    </w:p>
    <w:bookmarkEnd w:id="1"/>
    <w:bookmarkStart w:name="f-28896-4" w:id="3"/>
    <w:p>
      <w:pPr>
        <w:pStyle w:val="InstructionsHeading4"/>
      </w:pPr>
      <w:bookmarkStart w:name="h-28896-4" w:id="4"/>
      <w:r>
        <w:rPr/>
        <w:t xml:space="preserve">Branded worksection</w:t>
      </w:r>
      <w:bookmarkEnd w:id="4"/>
    </w:p>
    <w:p>
      <w:pPr>
        <w:pStyle w:val="Instructions"/>
      </w:pPr>
      <w:r>
        <w:rPr/>
        <w:t xml:space="preserve">This branded worksection Template has been developed by NATSPEC in conjunction with </w:t>
      </w:r>
      <w:r>
        <w:rPr>
          <w:b/>
        </w:rPr>
        <w:t xml:space="preserve">GUARDIAN TACTILE SYSTEMS</w:t>
      </w:r>
      <w:r>
        <w:rPr/>
        <w:t xml:space="preserve"> (the Product Partner) and may be used whilst the Product Partner is licensed to distribute it. The copyright remains with NATSPEC. As with all NATSPEC worksections, it is the responsibility of the user to make sure it is completed appropriately for the project. The user should also review its applicability for local conditions and regulations. Check </w:t>
      </w:r>
      <w:r>
        <w:fldChar w:fldCharType="begin"/>
      </w:r>
      <w:r>
        <w:instrText xml:space="preserve"> HYPERLINK "https://www.natspec.com.au/" </w:instrText>
      </w:r>
      <w:r>
        <w:fldChar w:fldCharType="separate"/>
      </w:r>
      <w:r>
        <w:rPr>
          <w:rStyle w:val="Hyperlink"/>
        </w:rPr>
        <w:t>www.natspec.com.au</w:t>
      </w:r>
      <w:r>
        <w:fldChar w:fldCharType="end"/>
      </w:r>
      <w:r>
        <w:rPr/>
        <w:t xml:space="preserve"> for the latest updated version.</w:t>
      </w:r>
    </w:p>
    <w:bookmarkEnd w:id="3"/>
    <w:bookmarkStart w:name="f-28896-5" w:id="5"/>
    <w:p>
      <w:pPr>
        <w:pStyle w:val="InstructionsHeading4"/>
      </w:pPr>
      <w:bookmarkStart w:name="h-28896-5" w:id="6"/>
      <w:r>
        <w:rPr/>
        <w:t xml:space="preserve">Worksection abstract</w:t>
      </w:r>
      <w:bookmarkEnd w:id="6"/>
    </w:p>
    <w:p>
      <w:pPr>
        <w:pStyle w:val="Instructions"/>
      </w:pPr>
      <w:r>
        <w:rPr/>
        <w:t xml:space="preserve">This branded worksection </w:t>
      </w:r>
      <w:r>
        <w:rPr>
          <w:i/>
        </w:rPr>
        <w:t xml:space="preserve">Template</w:t>
      </w:r>
      <w:r>
        <w:rPr/>
        <w:t xml:space="preserve"> is applicable to the supply and installation of GUARDIAN TACTILE SYSTEMS tactile ground surface indicators (TGSIs), stair nosing and anti‑slip tape.</w:t>
      </w:r>
    </w:p>
    <w:bookmarkEnd w:id="5"/>
    <w:bookmarkStart w:name="f-28896-6" w:id="7"/>
    <w:bookmarkStart w:name="f-8831" w:id="8"/>
    <w:bookmarkStart w:name="f-8831-99906-2" w:id="9"/>
    <w:p>
      <w:pPr>
        <w:pStyle w:val="InstructionsHeading4"/>
      </w:pPr>
      <w:bookmarkStart w:name="h-8831-99906-2" w:id="10"/>
      <w:r>
        <w:rPr/>
        <w:t xml:space="preserve">How to use this worksection</w:t>
      </w:r>
      <w:bookmarkEnd w:id="10"/>
    </w:p>
    <w:p>
      <w:pPr>
        <w:pStyle w:val="Instructions"/>
      </w:pPr>
      <w:r>
        <w:rPr/>
        <w:t xml:space="preserve">Customise this worksection </w:t>
      </w:r>
      <w:r>
        <w:rPr>
          <w:i/>
        </w:rPr>
        <w:t xml:space="preserve">Template</w:t>
      </w:r>
      <w:r>
        <w:rPr/>
        <w:t xml:space="preserve"> for each project. See </w:t>
      </w:r>
      <w:r>
        <w:fldChar w:fldCharType="begin"/>
      </w:r>
      <w:r>
        <w:instrText xml:space="preserve"> HYPERLINK "https://www.natspec.com.au/a-guide-to-natspec-worksections" </w:instrText>
      </w:r>
      <w:r>
        <w:fldChar w:fldCharType="separate"/>
      </w:r>
      <w:r>
        <w:rPr>
          <w:rStyle w:val="Hyperlink"/>
        </w:rPr>
        <w:t>A guide to NATSPEC worksections</w:t>
      </w:r>
      <w:r>
        <w:fldChar w:fldCharType="end"/>
      </w:r>
      <w:r>
        <w:rPr/>
        <w:t xml:space="preserve"> (</w:t>
      </w:r>
      <w:r>
        <w:fldChar w:fldCharType="begin"/>
      </w:r>
      <w:r>
        <w:instrText xml:space="preserve"> HYPERLINK "https://www.natspec.com.au/a-guide-to-natspec-worksections" </w:instrText>
      </w:r>
      <w:r>
        <w:fldChar w:fldCharType="separate"/>
      </w:r>
      <w:r>
        <w:rPr>
          <w:rStyle w:val="Hyperlink"/>
        </w:rPr>
        <w:t>www.natspec.com.au</w:t>
      </w:r>
      <w:r>
        <w:fldChar w:fldCharType="end"/>
      </w:r>
      <w:r>
        <w:rPr/>
        <w:t xml:space="preserve">) for information on </w:t>
      </w:r>
      <w:r>
        <w:rPr>
          <w:i/>
        </w:rPr>
        <w:t xml:space="preserve">Template</w:t>
      </w:r>
      <w:r>
        <w:rPr/>
        <w:t xml:space="preserve"> structure, word styles and completing a worksection.</w:t>
      </w:r>
    </w:p>
    <w:bookmarkEnd w:id="9"/>
    <w:bookmarkEnd w:id="8"/>
    <w:bookmarkEnd w:id="7"/>
    <w:bookmarkStart w:name="f-28896-7" w:id="11"/>
    <w:bookmarkStart w:name="f-8177" w:id="12"/>
    <w:bookmarkStart w:name="f-8177-1" w:id="13"/>
    <w:p>
      <w:pPr>
        <w:pStyle w:val="InstructionsHeading4"/>
      </w:pPr>
      <w:bookmarkStart w:name="h-8177-1" w:id="14"/>
      <w:r>
        <w:rPr/>
        <w:t xml:space="preserve">Related material located elsewhere in NATSPEC</w:t>
      </w:r>
      <w:bookmarkEnd w:id="14"/>
    </w:p>
    <w:p>
      <w:pPr>
        <w:pStyle w:val="Instructions"/>
      </w:pPr>
      <w:r>
        <w:rPr/>
        <w:t xml:space="preserve">If a listed worksection is not part of your subscription package and you wish to purchase it, contact NATSPEC.</w:t>
      </w:r>
    </w:p>
    <w:p>
      <w:pPr>
        <w:pStyle w:val="Instructions"/>
      </w:pPr>
      <w:r>
        <w:rPr/>
        <w:t xml:space="preserve">Related material may be found in other worksections, including:</w:t>
      </w:r>
    </w:p>
    <w:bookmarkEnd w:id="13"/>
    <w:bookmarkEnd w:id="12"/>
    <w:p>
      <w:pPr>
        <w:pStyle w:val="Instructionsindent"/>
      </w:pPr>
      <w:r>
        <w:rPr>
          <w:i/>
        </w:rPr>
        <w:t xml:space="preserve">0315 Concrete finishes</w:t>
      </w:r>
      <w:r>
        <w:rPr/>
        <w:t xml:space="preserve"> for concrete stairs and surface finishes.</w:t>
      </w:r>
    </w:p>
    <w:p>
      <w:pPr>
        <w:pStyle w:val="Instructionsindent"/>
      </w:pPr>
      <w:r>
        <w:rPr>
          <w:i/>
        </w:rPr>
        <w:t xml:space="preserve">0541 Access floors</w:t>
      </w:r>
      <w:r>
        <w:rPr/>
        <w:t xml:space="preserve">.</w:t>
      </w:r>
    </w:p>
    <w:p>
      <w:pPr>
        <w:pStyle w:val="Instructionsindent"/>
      </w:pPr>
      <w:r>
        <w:rPr>
          <w:i/>
        </w:rPr>
        <w:t xml:space="preserve">0551 Joinery</w:t>
      </w:r>
      <w:r>
        <w:rPr/>
        <w:t xml:space="preserve"> for timber stairs.</w:t>
      </w:r>
    </w:p>
    <w:p>
      <w:pPr>
        <w:pStyle w:val="Instructionsindent"/>
      </w:pPr>
      <w:r>
        <w:rPr>
          <w:i/>
        </w:rPr>
        <w:t xml:space="preserve">0552 Metalwork - fabricated</w:t>
      </w:r>
      <w:r>
        <w:rPr/>
        <w:t xml:space="preserve"> for steel stairs.</w:t>
      </w:r>
    </w:p>
    <w:p>
      <w:pPr>
        <w:pStyle w:val="Instructionsindent"/>
      </w:pPr>
      <w:r>
        <w:rPr>
          <w:i/>
        </w:rPr>
        <w:t xml:space="preserve">0613 Terrazzo in situ</w:t>
      </w:r>
      <w:r>
        <w:rPr/>
        <w:t xml:space="preserve"> for surface finish.</w:t>
      </w:r>
    </w:p>
    <w:p>
      <w:pPr>
        <w:pStyle w:val="Instructionsindent"/>
      </w:pPr>
      <w:r>
        <w:rPr>
          <w:i/>
        </w:rPr>
        <w:t xml:space="preserve">0631 Ceramic tiling</w:t>
      </w:r>
      <w:r>
        <w:rPr/>
        <w:t xml:space="preserve"> for tiled floors and stairs.</w:t>
      </w:r>
    </w:p>
    <w:p>
      <w:pPr>
        <w:pStyle w:val="Instructionsindent"/>
      </w:pPr>
      <w:r>
        <w:rPr>
          <w:i/>
        </w:rPr>
        <w:t xml:space="preserve">0632 Stone and terrazzo tiling</w:t>
      </w:r>
      <w:r>
        <w:rPr/>
        <w:t xml:space="preserve"> for tiled floors and stairs.</w:t>
      </w:r>
    </w:p>
    <w:p>
      <w:pPr>
        <w:pStyle w:val="Instructionsindent"/>
      </w:pPr>
      <w:r>
        <w:rPr>
          <w:i/>
        </w:rPr>
        <w:t xml:space="preserve">0651 Resilient finishes</w:t>
      </w:r>
      <w:r>
        <w:rPr/>
        <w:t xml:space="preserve"> for stair and floor finish.</w:t>
      </w:r>
    </w:p>
    <w:p>
      <w:pPr>
        <w:pStyle w:val="Instructionsindent"/>
      </w:pPr>
      <w:r>
        <w:rPr>
          <w:i/>
        </w:rPr>
        <w:t xml:space="preserve">0652 Carpets</w:t>
      </w:r>
      <w:r>
        <w:rPr/>
        <w:t xml:space="preserve"> for stair and floor finish.</w:t>
      </w:r>
    </w:p>
    <w:p>
      <w:pPr>
        <w:pStyle w:val="Instructionsindent"/>
      </w:pPr>
      <w:r>
        <w:rPr>
          <w:i/>
        </w:rPr>
        <w:t xml:space="preserve">0654 Multilayered board flooring</w:t>
      </w:r>
      <w:r>
        <w:rPr/>
        <w:t xml:space="preserve"> for stair and floor finish.</w:t>
      </w:r>
    </w:p>
    <w:p>
      <w:pPr>
        <w:pStyle w:val="Instructionsindent"/>
      </w:pPr>
      <w:r>
        <w:rPr>
          <w:i/>
        </w:rPr>
        <w:t xml:space="preserve">0655 Timber flooring</w:t>
      </w:r>
      <w:r>
        <w:rPr/>
        <w:t xml:space="preserve"> for stair and floor finish.</w:t>
      </w:r>
    </w:p>
    <w:p>
      <w:pPr>
        <w:pStyle w:val="Instructionsindent"/>
      </w:pPr>
      <w:r>
        <w:rPr>
          <w:i/>
        </w:rPr>
        <w:t xml:space="preserve">0657 Resin based seamless flooring</w:t>
      </w:r>
      <w:r>
        <w:rPr/>
        <w:t xml:space="preserve">.</w:t>
      </w:r>
    </w:p>
    <w:bookmarkEnd w:id="11"/>
    <w:bookmarkStart w:name="f-28896-8" w:id="15"/>
    <w:p>
      <w:pPr>
        <w:pStyle w:val="InstructionsHeading4"/>
      </w:pPr>
      <w:bookmarkStart w:name="h-28896-8" w:id="16"/>
      <w:r>
        <w:rPr/>
        <w:t xml:space="preserve">Documenting this and related work</w:t>
      </w:r>
      <w:bookmarkEnd w:id="16"/>
    </w:p>
    <w:p>
      <w:pPr>
        <w:pStyle w:val="Instructions"/>
      </w:pPr>
      <w:r>
        <w:rPr/>
        <w:t xml:space="preserve">You may document this and related work as follows:</w:t>
      </w:r>
    </w:p>
    <w:p>
      <w:pPr>
        <w:pStyle w:val="Instructionsindent"/>
      </w:pPr>
      <w:r>
        <w:rPr/>
        <w:t xml:space="preserve">Show the location and type of TGSIs, stair nosing and anti‑slip tape on the drawings.</w:t>
      </w:r>
    </w:p>
    <w:p>
      <w:pPr>
        <w:pStyle w:val="Instructionsindent"/>
      </w:pPr>
      <w:r>
        <w:rPr/>
        <w:t xml:space="preserve">If using this worksection, remove tactile indicators from other worksections, as appropriate.</w:t>
      </w:r>
    </w:p>
    <w:bookmarkStart w:name="f-8338" w:id="17"/>
    <w:bookmarkStart w:name="f-8338-1" w:id="18"/>
    <w:p>
      <w:pPr>
        <w:pStyle w:val="Instructions"/>
      </w:pPr>
      <w:r>
        <w:rPr/>
        <w:t xml:space="preserve">The </w:t>
      </w:r>
      <w:r>
        <w:rPr>
          <w:i/>
        </w:rPr>
        <w:t xml:space="preserve">Normal</w:t>
      </w:r>
      <w:r>
        <w:rPr/>
        <w:t xml:space="preserve"> style text of this worksection may refer to items as being documented elsewhere in the contract documentation. Make sure they are documented.</w:t>
      </w:r>
    </w:p>
    <w:bookmarkEnd w:id="18"/>
    <w:bookmarkEnd w:id="17"/>
    <w:bookmarkStart w:name="f-6972" w:id="19"/>
    <w:bookmarkStart w:name="f-6972-1" w:id="20"/>
    <w:p>
      <w:pPr>
        <w:pStyle w:val="Instructions"/>
      </w:pPr>
      <w:r>
        <w:rPr/>
        <w:t xml:space="preserve">Search </w:t>
      </w:r>
      <w:r>
        <w:fldChar w:fldCharType="begin"/>
      </w:r>
      <w:r>
        <w:instrText xml:space="preserve"> HYPERLINK "https://acumen.architecture.com.au/" </w:instrText>
      </w:r>
      <w:r>
        <w:fldChar w:fldCharType="separate"/>
      </w:r>
      <w:r>
        <w:rPr>
          <w:rStyle w:val="Hyperlink"/>
        </w:rPr>
        <w:t>acumen.architecture.com.au</w:t>
      </w:r>
      <w:r>
        <w:fldChar w:fldCharType="end"/>
      </w:r>
      <w:r>
        <w:rPr/>
        <w:t xml:space="preserve">, the Australian Institute of Architects' practice advisory subscription service, for notes on the following:</w:t>
      </w:r>
    </w:p>
    <w:bookmarkEnd w:id="20"/>
    <w:bookmarkEnd w:id="19"/>
    <w:p>
      <w:pPr>
        <w:pStyle w:val="Instructionsindent"/>
      </w:pPr>
      <w:r>
        <w:rPr/>
        <w:t xml:space="preserve">Guarantees and warranties.</w:t>
      </w:r>
    </w:p>
    <w:p>
      <w:pPr>
        <w:pStyle w:val="Instructionsindent"/>
      </w:pPr>
      <w:r>
        <w:rPr/>
        <w:t xml:space="preserve">Slip resistance compliance and testing.</w:t>
      </w:r>
    </w:p>
    <w:p>
      <w:pPr>
        <w:pStyle w:val="Instructionsindent"/>
      </w:pPr>
      <w:r>
        <w:rPr/>
        <w:t xml:space="preserve">Slip resistance design considerations.</w:t>
      </w:r>
    </w:p>
    <w:bookmarkEnd w:id="15"/>
    <w:bookmarkStart w:name="f-28896-9" w:id="21"/>
    <w:p>
      <w:pPr>
        <w:pStyle w:val="InstructionsHeading4"/>
      </w:pPr>
      <w:bookmarkStart w:name="h-28896-9" w:id="22"/>
      <w:r>
        <w:rPr/>
        <w:t xml:space="preserve">Specifying ESD</w:t>
      </w:r>
      <w:bookmarkEnd w:id="22"/>
    </w:p>
    <w:p>
      <w:pPr>
        <w:pStyle w:val="Instructions"/>
      </w:pPr>
      <w:r>
        <w:rPr/>
        <w:t xml:space="preserve">Refer to NATSPEC TECHreport TR 01 on specifying ESD.</w:t>
      </w:r>
    </w:p>
    <w:bookmarkEnd w:id="21"/>
    <w:bookmarkStart w:name="f-28896-2" w:id="23"/>
    <w:bookmarkStart w:name="f-28899" w:id="24"/>
    <w:bookmarkStart w:name="f-28899-1" w:id="25"/>
    <w:p>
      <w:pPr>
        <w:pStyle w:val="Heading2"/>
      </w:pPr>
      <w:bookmarkStart w:name="h-28899-1" w:id="26"/>
      <w:r>
        <w:rPr/>
        <w:t xml:space="preserve">GENERAL</w:t>
      </w:r>
      <w:bookmarkEnd w:id="26"/>
    </w:p>
    <w:bookmarkEnd w:id="25"/>
    <w:bookmarkStart w:name="f-28899-2" w:id="27"/>
    <w:p>
      <w:pPr>
        <w:pStyle w:val="Instructions"/>
      </w:pPr>
      <w:r>
        <w:rPr/>
        <w:t xml:space="preserve">Guardian Tactile Systems is a proudly Australian‑owned company with over 24 years' experience in the design, manufacture, supply, and installation of NCC and AS‑compliant tactiles, stair nosing, and accessibility products. We deliver premium‑grade, Australian‑made solutions at competitive prices, supporting architects, builders, and government projects nationwide with uncompromising quality, compliance, and reliability. Quality you can trust and compliance you can count on.</w:t>
      </w:r>
    </w:p>
    <w:bookmarkEnd w:id="27"/>
    <w:bookmarkStart w:name="f-28899-5" w:id="28"/>
    <w:p>
      <w:pPr>
        <w:pStyle w:val="Heading3"/>
      </w:pPr>
      <w:bookmarkStart w:name="h-28899-5" w:id="29"/>
      <w:r>
        <w:rPr/>
        <w:t xml:space="preserve">RESPONSIBILITIES</w:t>
      </w:r>
      <w:bookmarkEnd w:id="29"/>
    </w:p>
    <w:bookmarkEnd w:id="28"/>
    <w:bookmarkStart w:name="f-28899-6" w:id="30"/>
    <w:p>
      <w:pPr>
        <w:pStyle w:val="Heading4"/>
      </w:pPr>
      <w:bookmarkStart w:name="h-28899-6" w:id="31"/>
      <w:r>
        <w:rPr/>
        <w:t xml:space="preserve">General</w:t>
      </w:r>
      <w:bookmarkEnd w:id="31"/>
    </w:p>
    <w:p>
      <w:pPr>
        <w:pStyle w:val="Body Text"/>
      </w:pPr>
      <w:r>
        <w:rPr/>
        <w:t xml:space="preserve">Requirement: Provide GUARDIAN TACTILE SYSTEMS TGSIs, stair nosing and anti‑slip tape, as documented.</w:t>
      </w:r>
    </w:p>
    <w:bookmarkStart w:name="f-23055" w:id="32"/>
    <w:bookmarkStart w:name="f-23055-1" w:id="33"/>
    <w:p>
      <w:pPr>
        <w:pStyle w:val="Instructions"/>
      </w:pPr>
      <w:r>
        <w:rPr>
          <w:i/>
        </w:rPr>
        <w:t xml:space="preserve">Documented</w:t>
      </w:r>
      <w:r>
        <w:rPr/>
        <w:t xml:space="preserve"> is defined in </w:t>
      </w:r>
      <w:r>
        <w:rPr>
          <w:i/>
        </w:rPr>
        <w:t xml:space="preserve">0171 General requirements</w:t>
      </w:r>
      <w:r>
        <w:rPr/>
        <w:t xml:space="preserve"> as meaning contained in the contract documents.</w:t>
      </w:r>
    </w:p>
    <w:bookmarkEnd w:id="33"/>
    <w:bookmarkEnd w:id="32"/>
    <w:bookmarkEnd w:id="30"/>
    <w:bookmarkStart w:name="f-28899-7" w:id="34"/>
    <w:p>
      <w:pPr>
        <w:pStyle w:val="Heading3"/>
      </w:pPr>
      <w:bookmarkStart w:name="h-28899-7" w:id="35"/>
      <w:r>
        <w:rPr/>
        <w:t xml:space="preserve">COMPANY CONTACTS</w:t>
      </w:r>
      <w:bookmarkEnd w:id="35"/>
    </w:p>
    <w:bookmarkEnd w:id="34"/>
    <w:bookmarkStart w:name="f-28899-8" w:id="36"/>
    <w:p>
      <w:pPr>
        <w:pStyle w:val="Heading4"/>
      </w:pPr>
      <w:bookmarkStart w:name="h-28899-8" w:id="37"/>
      <w:r>
        <w:rPr/>
        <w:t xml:space="preserve">GUARDIAN TACTILE SYSTEMS technical contacts</w:t>
      </w:r>
      <w:bookmarkEnd w:id="37"/>
    </w:p>
    <w:p>
      <w:pPr>
        <w:pStyle w:val="Body Text"/>
      </w:pPr>
      <w:r>
        <w:rPr/>
        <w:t xml:space="preserve">Website: </w:t>
      </w:r>
      <w:r>
        <w:fldChar w:fldCharType="begin"/>
      </w:r>
      <w:r>
        <w:instrText xml:space="preserve"> HYPERLINK "https://guardiantactile.com/contact-us/" </w:instrText>
      </w:r>
      <w:r>
        <w:fldChar w:fldCharType="separate"/>
      </w:r>
      <w:r>
        <w:rPr>
          <w:rStyle w:val="Hyperlink"/>
        </w:rPr>
        <w:t>guardiantactile.com/contact-us/</w:t>
      </w:r>
      <w:r>
        <w:fldChar w:fldCharType="end"/>
      </w:r>
    </w:p>
    <w:bookmarkEnd w:id="36"/>
    <w:bookmarkStart w:name="f-28899-9" w:id="38"/>
    <w:p>
      <w:pPr>
        <w:pStyle w:val="Heading3"/>
      </w:pPr>
      <w:bookmarkStart w:name="h-28899-9" w:id="39"/>
      <w:r>
        <w:rPr/>
        <w:t xml:space="preserve">CROSS REFERENCES</w:t>
      </w:r>
      <w:bookmarkEnd w:id="39"/>
    </w:p>
    <w:bookmarkEnd w:id="38"/>
    <w:bookmarkStart w:name="f-28899-10" w:id="40"/>
    <w:bookmarkStart w:name="f-7977" w:id="41"/>
    <w:bookmarkStart w:name="f-7977-1" w:id="42"/>
    <w:p>
      <w:pPr>
        <w:pStyle w:val="Heading4"/>
      </w:pPr>
      <w:bookmarkStart w:name="h-7977-1" w:id="43"/>
      <w:r>
        <w:rPr/>
        <w:t xml:space="preserve">General</w:t>
      </w:r>
      <w:bookmarkEnd w:id="43"/>
    </w:p>
    <w:p>
      <w:pPr>
        <w:pStyle w:val="Body Text"/>
      </w:pPr>
      <w:r>
        <w:rPr/>
        <w:t xml:space="preserve">Requirement: Conform to the following:</w:t>
      </w:r>
    </w:p>
    <w:p>
      <w:pPr>
        <w:pStyle w:val="NormalIndent"/>
      </w:pPr>
      <w:r>
        <w:rPr>
          <w:i/>
        </w:rPr>
        <w:t xml:space="preserve">0171 General requirements</w:t>
      </w:r>
      <w:r>
        <w:rPr/>
        <w:t xml:space="preserve">.</w:t>
      </w:r>
    </w:p>
    <w:p>
      <w:pPr>
        <w:pStyle w:val="Instructions"/>
      </w:pPr>
      <w:r>
        <w:rPr>
          <w:i/>
        </w:rPr>
        <w:t xml:space="preserve">0171 General requirements</w:t>
      </w:r>
      <w:r>
        <w:rPr/>
        <w:t xml:space="preserve"> contains umbrella requirements for all building and services worksections.</w:t>
      </w:r>
    </w:p>
    <w:p>
      <w:pPr>
        <w:pStyle w:val="Instructions"/>
      </w:pPr>
      <w:r>
        <w:rPr/>
        <w:t xml:space="preserve">List the worksections cross referenced by this worksection. </w:t>
      </w:r>
      <w:r>
        <w:rPr>
          <w:i/>
        </w:rPr>
        <w:t xml:space="preserve">0171 General requirements</w:t>
      </w:r>
      <w:r>
        <w:rPr/>
        <w:t xml:space="preserve"> references the </w:t>
      </w:r>
      <w:r>
        <w:rPr>
          <w:i/>
        </w:rPr>
        <w:t xml:space="preserve">018 Common requirements</w:t>
      </w:r>
      <w:r>
        <w:rPr/>
        <w:t xml:space="preserve"> subgroup of worksections. It is not necessary to repeat them here. However, you may also wish to direct the contractor to other worksections where there may be work that is closely associated with this work.</w:t>
      </w:r>
    </w:p>
    <w:p>
      <w:pPr>
        <w:pStyle w:val="Instructions"/>
      </w:pPr>
      <w:r>
        <w:rPr/>
        <w:t xml:space="preserve">NATSPEC uses generic worksection titles, whether or not there are branded equivalents. If you use a branded worksection, change the cross reference here. Refer to NATSPEC TECHnote GEN 008 on generic and branded worksections and their relative advantages.</w:t>
      </w:r>
    </w:p>
    <w:bookmarkEnd w:id="42"/>
    <w:bookmarkEnd w:id="41"/>
    <w:bookmarkEnd w:id="40"/>
    <w:bookmarkStart w:name="f-28899-11" w:id="44"/>
    <w:p>
      <w:pPr>
        <w:pStyle w:val="Heading3"/>
      </w:pPr>
      <w:bookmarkStart w:name="h-28899-11" w:id="45"/>
      <w:r>
        <w:rPr/>
        <w:t xml:space="preserve">MANUFACTURER'S DOCUMENTS</w:t>
      </w:r>
      <w:bookmarkEnd w:id="45"/>
    </w:p>
    <w:bookmarkEnd w:id="44"/>
    <w:bookmarkStart w:name="f-28899-12" w:id="46"/>
    <w:p>
      <w:pPr>
        <w:pStyle w:val="Heading4"/>
      </w:pPr>
      <w:bookmarkStart w:name="h-28899-12" w:id="47"/>
      <w:r>
        <w:rPr/>
        <w:t xml:space="preserve">Technical manuals</w:t>
      </w:r>
      <w:bookmarkEnd w:id="47"/>
    </w:p>
    <w:p>
      <w:pPr>
        <w:pStyle w:val="Body Text"/>
      </w:pPr>
      <w:r>
        <w:rPr/>
        <w:t xml:space="preserve">Integrated TGSIs: </w:t>
      </w:r>
      <w:r>
        <w:fldChar w:fldCharType="begin"/>
      </w:r>
      <w:r>
        <w:instrText xml:space="preserve"> HYPERLINK "https://guardiantactile.com/tactile-ground-surface-indicators/integrated/" </w:instrText>
      </w:r>
      <w:r>
        <w:fldChar w:fldCharType="separate"/>
      </w:r>
      <w:r>
        <w:rPr>
          <w:rStyle w:val="Hyperlink"/>
        </w:rPr>
        <w:t>guardiantactile.com/tactile-ground-surface-indicators/integrated/</w:t>
      </w:r>
      <w:r>
        <w:fldChar w:fldCharType="end"/>
      </w:r>
    </w:p>
    <w:p>
      <w:pPr>
        <w:pStyle w:val="Body Text"/>
      </w:pPr>
      <w:r>
        <w:rPr/>
        <w:t xml:space="preserve">Discrete TGSIs: </w:t>
      </w:r>
      <w:r>
        <w:fldChar w:fldCharType="begin"/>
      </w:r>
      <w:r>
        <w:instrText xml:space="preserve"> HYPERLINK "https://guardiantactile.com/tactile-ground-surface-indicators/discrete-tactile-surface-indicators/" </w:instrText>
      </w:r>
      <w:r>
        <w:fldChar w:fldCharType="separate"/>
      </w:r>
      <w:r>
        <w:rPr>
          <w:rStyle w:val="Hyperlink"/>
        </w:rPr>
        <w:t>guardiantactile.com/tactile-ground-surface-indicators/discrete-tactile-surface-indicators/</w:t>
      </w:r>
      <w:r>
        <w:fldChar w:fldCharType="end"/>
      </w:r>
    </w:p>
    <w:p>
      <w:pPr>
        <w:pStyle w:val="Body Text"/>
      </w:pPr>
      <w:r>
        <w:rPr/>
        <w:t xml:space="preserve">Stair nosing: </w:t>
      </w:r>
      <w:r>
        <w:fldChar w:fldCharType="begin"/>
      </w:r>
      <w:r>
        <w:instrText xml:space="preserve"> HYPERLINK "https://guardiantactile.com/products/premium-stair-nosings/" </w:instrText>
      </w:r>
      <w:r>
        <w:fldChar w:fldCharType="separate"/>
      </w:r>
      <w:r>
        <w:rPr>
          <w:rStyle w:val="Hyperlink"/>
        </w:rPr>
        <w:t>guardiantactile.com/products/premium-stair-nosings/</w:t>
      </w:r>
      <w:r>
        <w:fldChar w:fldCharType="end"/>
      </w:r>
    </w:p>
    <w:p>
      <w:pPr>
        <w:pStyle w:val="Body Text"/>
      </w:pPr>
      <w:r>
        <w:rPr/>
        <w:t xml:space="preserve">Anti‑slip tape: </w:t>
      </w:r>
      <w:r>
        <w:fldChar w:fldCharType="begin"/>
      </w:r>
      <w:r>
        <w:instrText xml:space="preserve"> HYPERLINK "https://guardiantactile.com/nonslip-safety-tape/" </w:instrText>
      </w:r>
      <w:r>
        <w:fldChar w:fldCharType="separate"/>
      </w:r>
      <w:r>
        <w:rPr>
          <w:rStyle w:val="Hyperlink"/>
        </w:rPr>
        <w:t>guardiantactile.com/nonslip-safety-tape/</w:t>
      </w:r>
      <w:r>
        <w:fldChar w:fldCharType="end"/>
      </w:r>
    </w:p>
    <w:bookmarkEnd w:id="46"/>
    <w:bookmarkStart w:name="f-28899-13" w:id="48"/>
    <w:p>
      <w:pPr>
        <w:pStyle w:val="Heading3"/>
      </w:pPr>
      <w:bookmarkStart w:name="h-28899-13" w:id="49"/>
      <w:r>
        <w:rPr/>
        <w:t xml:space="preserve">SUBMISSIONS</w:t>
      </w:r>
      <w:bookmarkEnd w:id="49"/>
    </w:p>
    <w:bookmarkEnd w:id="48"/>
    <w:bookmarkStart w:name="f-28899-14" w:id="50"/>
    <w:p>
      <w:pPr>
        <w:pStyle w:val="Heading4"/>
      </w:pPr>
      <w:bookmarkStart w:name="h-28899-14" w:id="51"/>
      <w:r>
        <w:rPr/>
        <w:t xml:space="preserve">Products and materials</w:t>
      </w:r>
      <w:bookmarkEnd w:id="51"/>
    </w:p>
    <w:p>
      <w:pPr>
        <w:pStyle w:val="Body Text"/>
      </w:pPr>
      <w:r>
        <w:rPr/>
        <w:t xml:space="preserve">Type tests: Submit test results to PRODUCTS, </w:t>
      </w:r>
      <w:r>
        <w:rPr>
          <w:b/>
        </w:rPr>
        <w:t xml:space="preserve">GENERAL</w:t>
      </w:r>
      <w:r>
        <w:rPr/>
        <w:t xml:space="preserve">, </w:t>
      </w:r>
      <w:r>
        <w:rPr>
          <w:b/>
        </w:rPr>
        <w:t xml:space="preserve">Tests</w:t>
      </w:r>
      <w:r>
        <w:rPr/>
        <w:t xml:space="preserve"> for the following:</w:t>
      </w:r>
    </w:p>
    <w:p>
      <w:pPr>
        <w:pStyle w:val="NormalIndent"/>
      </w:pPr>
      <w:r>
        <w:rPr/>
        <w:t xml:space="preserve">Slip resistance of TGSIs and stair nosing.</w:t>
      </w:r>
    </w:p>
    <w:p>
      <w:pPr>
        <w:pStyle w:val="Instructions"/>
      </w:pPr>
      <w:r>
        <w:rPr/>
        <w:t xml:space="preserve">The GUARDIAN TACTILE SYSTEMS range of TGSIs and stair nosing are tested to a range of slip resistance tests. According to the Wet Pendulum Slip rating AS 4586 (2013) Appendix A, completed in a NATA accredited laboratory, GUARDIAN TACTILE SYSTEMS meet a P3 to P5 slip resistance classification for their TGSIs, with most TGSI and nosing products reaching ratings of P5.</w:t>
      </w:r>
    </w:p>
    <w:p>
      <w:pPr>
        <w:pStyle w:val="NormalIndent"/>
      </w:pPr>
      <w:r>
        <w:rPr/>
        <w:t xml:space="preserve">Luminance reflectance of TGSIs and stair nosing.</w:t>
      </w:r>
    </w:p>
    <w:bookmarkStart w:name="f-8391" w:id="52"/>
    <w:bookmarkStart w:name="f-8391-1" w:id="53"/>
    <w:p>
      <w:pPr>
        <w:pStyle w:val="Instructions"/>
      </w:pPr>
      <w:r>
        <w:rPr/>
        <w:t xml:space="preserve">Type tests are carried out off site. However, submission of evidence of a successful type test may be called up here for requirements specified in PRODUCTS.</w:t>
      </w:r>
    </w:p>
    <w:bookmarkEnd w:id="53"/>
    <w:bookmarkEnd w:id="52"/>
    <w:bookmarkEnd w:id="50"/>
    <w:bookmarkStart w:name="f-28899-15" w:id="54"/>
    <w:bookmarkStart w:name="f-18073" w:id="55"/>
    <w:bookmarkStart w:name="f-18073-1" w:id="56"/>
    <w:p>
      <w:pPr>
        <w:pStyle w:val="Heading4"/>
      </w:pPr>
      <w:bookmarkStart w:name="h-18073-1" w:id="57"/>
      <w:r>
        <w:rPr/>
        <w:t xml:space="preserve">Samples</w:t>
      </w:r>
      <w:bookmarkEnd w:id="57"/>
    </w:p>
    <w:p>
      <w:pPr>
        <w:pStyle w:val="Body Text"/>
      </w:pPr>
      <w:r>
        <w:rPr/>
        <w:t xml:space="preserve">Requirement: Submit samples to PRODUCTS, </w:t>
      </w:r>
      <w:r>
        <w:rPr>
          <w:b/>
        </w:rPr>
        <w:t xml:space="preserve">GENERAL</w:t>
      </w:r>
      <w:r>
        <w:rPr/>
        <w:t xml:space="preserve">, </w:t>
      </w:r>
      <w:r>
        <w:rPr>
          <w:b/>
        </w:rPr>
        <w:t xml:space="preserve">Samples</w:t>
      </w:r>
      <w:r>
        <w:rPr/>
        <w:t xml:space="preserve">.</w:t>
      </w:r>
    </w:p>
    <w:bookmarkEnd w:id="56"/>
    <w:bookmarkEnd w:id="55"/>
    <w:bookmarkEnd w:id="54"/>
    <w:bookmarkStart w:name="f-28899-16" w:id="58"/>
    <w:p>
      <w:pPr>
        <w:pStyle w:val="Heading4"/>
      </w:pPr>
      <w:bookmarkStart w:name="h-28899-16" w:id="59"/>
      <w:r>
        <w:rPr/>
        <w:t xml:space="preserve">Substrate acceptance</w:t>
      </w:r>
      <w:bookmarkEnd w:id="59"/>
    </w:p>
    <w:p>
      <w:pPr>
        <w:pStyle w:val="Body Text"/>
      </w:pPr>
      <w:r>
        <w:rPr/>
        <w:t xml:space="preserve">Requirement: Submit evidence of installer's acceptance of the substrate before starting installation.</w:t>
      </w:r>
    </w:p>
    <w:bookmarkEnd w:id="58"/>
    <w:bookmarkStart w:name="f-28899-17" w:id="60"/>
    <w:p>
      <w:pPr>
        <w:pStyle w:val="OptionalHeading4"/>
      </w:pPr>
      <w:bookmarkStart w:name="h-28899-17" w:id="61"/>
      <w:r>
        <w:rPr/>
        <w:t xml:space="preserve">Tests</w:t>
      </w:r>
      <w:bookmarkEnd w:id="61"/>
    </w:p>
    <w:bookmarkStart w:name="f-22788" w:id="62"/>
    <w:bookmarkStart w:name="f-22788-1" w:id="63"/>
    <w:p>
      <w:pPr>
        <w:pStyle w:val="Instructions"/>
      </w:pPr>
      <w:r>
        <w:rPr/>
        <w:t xml:space="preserve">Detail the tests required in EXECUTION and list the submissions required here.</w:t>
      </w:r>
    </w:p>
    <w:bookmarkEnd w:id="63"/>
    <w:bookmarkEnd w:id="62"/>
    <w:p>
      <w:pPr>
        <w:pStyle w:val="Instructions"/>
      </w:pPr>
      <w:r>
        <w:rPr/>
        <w:t xml:space="preserve">Completion tests may not be required for proprietary products that have the required type test information. If completion tests are required and documented in EXECUTION, </w:t>
      </w:r>
      <w:r>
        <w:rPr>
          <w:b/>
        </w:rPr>
        <w:t xml:space="preserve">TESTING</w:t>
      </w:r>
      <w:r>
        <w:rPr/>
        <w:t xml:space="preserve">, </w:t>
      </w:r>
      <w:r>
        <w:rPr>
          <w:b/>
        </w:rPr>
        <w:t xml:space="preserve">Completion tests</w:t>
      </w:r>
      <w:r>
        <w:rPr/>
        <w:t xml:space="preserve">, include this </w:t>
      </w:r>
      <w:r>
        <w:rPr>
          <w:i/>
        </w:rPr>
        <w:t xml:space="preserve">Optional</w:t>
      </w:r>
      <w:r>
        <w:rPr/>
        <w:t xml:space="preserve"> style text by changing to </w:t>
      </w:r>
      <w:r>
        <w:rPr>
          <w:i/>
        </w:rPr>
        <w:t xml:space="preserve">Normal</w:t>
      </w:r>
      <w:r>
        <w:rPr/>
        <w:t xml:space="preserve"> style text.</w:t>
      </w:r>
    </w:p>
    <w:p>
      <w:pPr>
        <w:pStyle w:val="OptionalNormal"/>
      </w:pPr>
      <w:r>
        <w:rPr/>
        <w:t xml:space="preserve">Completion test: Submit results of the following:</w:t>
      </w:r>
    </w:p>
    <w:p>
      <w:pPr>
        <w:pStyle w:val="OptionalNormalIndent"/>
      </w:pPr>
      <w:r>
        <w:rPr/>
        <w:t xml:space="preserve">Slip resistance of TGSIs and stair nosing.</w:t>
      </w:r>
    </w:p>
    <w:p>
      <w:pPr>
        <w:pStyle w:val="OptionalNormalIndent"/>
      </w:pPr>
      <w:r>
        <w:rPr/>
        <w:t xml:space="preserve">Luminance contrast of TGSIs and stair nosing.</w:t>
      </w:r>
    </w:p>
    <w:bookmarkEnd w:id="60"/>
    <w:bookmarkStart w:name="f-28899-18" w:id="64"/>
    <w:bookmarkStart w:name="f-9452" w:id="65"/>
    <w:bookmarkStart w:name="f-9452-1" w:id="66"/>
    <w:p>
      <w:pPr>
        <w:pStyle w:val="Heading4"/>
      </w:pPr>
      <w:bookmarkStart w:name="h-9452-1" w:id="67"/>
      <w:r>
        <w:rPr/>
        <w:t xml:space="preserve">Warranties</w:t>
      </w:r>
      <w:bookmarkEnd w:id="67"/>
    </w:p>
    <w:p>
      <w:pPr>
        <w:pStyle w:val="Body Text"/>
      </w:pPr>
      <w:r>
        <w:rPr/>
        <w:t xml:space="preserve">Requirement: Submit warranties to </w:t>
      </w:r>
      <w:r>
        <w:rPr>
          <w:b/>
        </w:rPr>
        <w:t xml:space="preserve">COMPLETION</w:t>
      </w:r>
      <w:r>
        <w:rPr/>
        <w:t xml:space="preserve">, </w:t>
      </w:r>
      <w:r>
        <w:rPr>
          <w:b/>
        </w:rPr>
        <w:t xml:space="preserve">Warranties</w:t>
      </w:r>
      <w:r>
        <w:rPr/>
        <w:t xml:space="preserve">.</w:t>
      </w:r>
    </w:p>
    <w:bookmarkEnd w:id="66"/>
    <w:bookmarkEnd w:id="65"/>
    <w:bookmarkEnd w:id="64"/>
    <w:bookmarkStart w:name="f-28899-19" w:id="68"/>
    <w:p>
      <w:pPr>
        <w:pStyle w:val="Heading3"/>
      </w:pPr>
      <w:bookmarkStart w:name="h-28899-19" w:id="69"/>
      <w:r>
        <w:rPr/>
        <w:t xml:space="preserve">INTERPRETATION</w:t>
      </w:r>
      <w:bookmarkEnd w:id="69"/>
    </w:p>
    <w:bookmarkEnd w:id="68"/>
    <w:bookmarkStart w:name="f-28899-20" w:id="70"/>
    <w:p>
      <w:pPr>
        <w:pStyle w:val="Heading4"/>
      </w:pPr>
      <w:bookmarkStart w:name="h-28899-20" w:id="71"/>
      <w:r>
        <w:rPr/>
        <w:t xml:space="preserve">Definitions</w:t>
      </w:r>
      <w:bookmarkEnd w:id="71"/>
    </w:p>
    <w:p>
      <w:pPr>
        <w:pStyle w:val="Body Text"/>
      </w:pPr>
      <w:r>
        <w:rPr/>
        <w:t xml:space="preserve">General: For the purposes of this worksection, the definitions given in AS/NZS 1428.4.1 (2009) apply.</w:t>
      </w:r>
    </w:p>
    <w:p>
      <w:pPr>
        <w:pStyle w:val="Instructions"/>
      </w:pPr>
      <w:r>
        <w:rPr/>
        <w:t xml:space="preserve">The NCC cites AS 1428.4 (1992) and AS/NZS 1428.4.1 (2009). The current edition is AS/NZS 1428.4.1 (2009).</w:t>
      </w:r>
    </w:p>
    <w:bookmarkEnd w:id="70"/>
    <w:bookmarkStart w:name="f-28899-21" w:id="72"/>
    <w:p>
      <w:pPr>
        <w:pStyle w:val="Heading3"/>
      </w:pPr>
      <w:bookmarkStart w:name="h-28899-21" w:id="73"/>
      <w:r>
        <w:rPr/>
        <w:t xml:space="preserve">INSPECTION</w:t>
      </w:r>
      <w:bookmarkEnd w:id="73"/>
    </w:p>
    <w:bookmarkEnd w:id="72"/>
    <w:bookmarkStart w:name="f-28899-22" w:id="74"/>
    <w:p>
      <w:pPr>
        <w:pStyle w:val="Heading4"/>
      </w:pPr>
      <w:bookmarkStart w:name="h-28899-22" w:id="75"/>
      <w:r>
        <w:rPr/>
        <w:t xml:space="preserve">Notice</w:t>
      </w:r>
      <w:bookmarkEnd w:id="75"/>
    </w:p>
    <w:p>
      <w:pPr>
        <w:pStyle w:val="Body Text"/>
      </w:pPr>
      <w:r>
        <w:rPr/>
        <w:t xml:space="preserve">Inspection: Give notice so that inspection may be made of the following:</w:t>
      </w:r>
    </w:p>
    <w:p>
      <w:pPr>
        <w:pStyle w:val="NormalIndent"/>
      </w:pPr>
      <w:r>
        <w:rPr/>
        <w:t xml:space="preserve">Completed substrate ready for the installation of the following: </w:t>
      </w:r>
    </w:p>
    <w:p>
      <w:pPr>
        <w:pStyle w:val="NormalIndent2"/>
      </w:pPr>
      <w:r>
        <w:rPr/>
        <w:t xml:space="preserve">TGSIs.</w:t>
      </w:r>
    </w:p>
    <w:p>
      <w:pPr>
        <w:pStyle w:val="NormalIndent2"/>
      </w:pPr>
      <w:r>
        <w:rPr/>
        <w:t xml:space="preserve">Stair nosing.</w:t>
      </w:r>
    </w:p>
    <w:p>
      <w:pPr>
        <w:pStyle w:val="NormalIndent2"/>
      </w:pPr>
      <w:r>
        <w:rPr/>
        <w:t xml:space="preserve">Anti‑slip tape.</w:t>
      </w:r>
    </w:p>
    <w:p>
      <w:pPr>
        <w:pStyle w:val="NormalIndent"/>
      </w:pPr>
      <w:r>
        <w:rPr/>
        <w:t xml:space="preserve">Completion of installation.</w:t>
      </w:r>
    </w:p>
    <w:bookmarkStart w:name="f-28195" w:id="76"/>
    <w:bookmarkStart w:name="f-28195-1" w:id="77"/>
    <w:p>
      <w:pPr>
        <w:pStyle w:val="Instructions"/>
      </w:pPr>
      <w:r>
        <w:rPr/>
        <w:t xml:space="preserve">Edit to suit the project, adding critical stage inspections required.</w:t>
      </w:r>
    </w:p>
    <w:p>
      <w:pPr>
        <w:pStyle w:val="Instructions"/>
      </w:pPr>
      <w:r>
        <w:rPr>
          <w:b/>
        </w:rPr>
        <w:t xml:space="preserve">Hold points</w:t>
      </w:r>
      <w:r>
        <w:rPr/>
        <w:t xml:space="preserve">, if required, should be inserted here.</w:t>
      </w:r>
    </w:p>
    <w:bookmarkEnd w:id="77"/>
    <w:bookmarkEnd w:id="76"/>
    <w:bookmarkEnd w:id="74"/>
    <w:bookmarkEnd w:id="24"/>
    <w:bookmarkStart w:name="f-28900" w:id="78"/>
    <w:bookmarkStart w:name="f-28900-1" w:id="79"/>
    <w:p>
      <w:pPr>
        <w:pStyle w:val="Heading2"/>
      </w:pPr>
      <w:bookmarkStart w:name="h-28900-1" w:id="80"/>
      <w:r>
        <w:rPr/>
        <w:t xml:space="preserve">PRODUCTS</w:t>
      </w:r>
      <w:bookmarkEnd w:id="80"/>
    </w:p>
    <w:bookmarkEnd w:id="79"/>
    <w:bookmarkStart w:name="f-28900-2" w:id="81"/>
    <w:p>
      <w:pPr>
        <w:pStyle w:val="Heading3"/>
      </w:pPr>
      <w:bookmarkStart w:name="h-28900-2" w:id="82"/>
      <w:r>
        <w:rPr/>
        <w:t xml:space="preserve">GENERAL</w:t>
      </w:r>
      <w:bookmarkEnd w:id="82"/>
    </w:p>
    <w:bookmarkEnd w:id="81"/>
    <w:bookmarkStart w:name="f-28900-3" w:id="83"/>
    <w:bookmarkStart w:name="f-8385" w:id="84"/>
    <w:bookmarkStart w:name="f-8385-2" w:id="85"/>
    <w:p>
      <w:pPr>
        <w:pStyle w:val="Heading4"/>
      </w:pPr>
      <w:bookmarkStart w:name="h-8385-2" w:id="86"/>
      <w:r>
        <w:rPr/>
        <w:t xml:space="preserve">Product substitution</w:t>
      </w:r>
      <w:bookmarkEnd w:id="86"/>
    </w:p>
    <w:p>
      <w:pPr>
        <w:pStyle w:val="Body Text"/>
      </w:pPr>
      <w:r>
        <w:rPr/>
        <w:t xml:space="preserve">Other products: Conform to </w:t>
      </w:r>
      <w:r>
        <w:rPr>
          <w:b/>
        </w:rPr>
        <w:t xml:space="preserve">SUBSTITUTIONS</w:t>
      </w:r>
      <w:r>
        <w:rPr/>
        <w:t xml:space="preserve"> in </w:t>
      </w:r>
      <w:r>
        <w:rPr>
          <w:i/>
        </w:rPr>
        <w:t xml:space="preserve">0171 General requirements</w:t>
      </w:r>
      <w:r>
        <w:rPr/>
        <w:t xml:space="preserve">.</w:t>
      </w:r>
    </w:p>
    <w:bookmarkEnd w:id="85"/>
    <w:bookmarkStart w:name="f-8385-3" w:id="87"/>
    <w:p>
      <w:pPr>
        <w:pStyle w:val="Instructions"/>
      </w:pPr>
      <w:r>
        <w:rPr>
          <w:b/>
        </w:rPr>
        <w:t xml:space="preserve">SUBSTITUTIONS</w:t>
      </w:r>
      <w:r>
        <w:rPr/>
        <w:t xml:space="preserve"> in </w:t>
      </w:r>
      <w:r>
        <w:rPr>
          <w:i/>
        </w:rPr>
        <w:t xml:space="preserve">0171 General requirements</w:t>
      </w:r>
      <w:r>
        <w:rPr/>
        <w:t xml:space="preserve"> sets out the submissions required if the contractor proposes alternative products. Refer also to NATSPEC TECHnote GEN 006 for more information on proprietary specification.</w:t>
      </w:r>
    </w:p>
    <w:bookmarkEnd w:id="87"/>
    <w:bookmarkEnd w:id="84"/>
    <w:bookmarkEnd w:id="83"/>
    <w:bookmarkStart w:name="f-28900-4" w:id="88"/>
    <w:bookmarkStart w:name="f-13182" w:id="89"/>
    <w:bookmarkStart w:name="f-13182-1" w:id="90"/>
    <w:p>
      <w:pPr>
        <w:pStyle w:val="Heading4"/>
      </w:pPr>
      <w:bookmarkStart w:name="h-13182-1" w:id="91"/>
      <w:r>
        <w:rPr/>
        <w:t xml:space="preserve">Product identification</w:t>
      </w:r>
      <w:bookmarkEnd w:id="91"/>
    </w:p>
    <w:p>
      <w:pPr>
        <w:pStyle w:val="Body Text"/>
      </w:pPr>
      <w:r>
        <w:rPr/>
        <w:t xml:space="preserve">General: Marked to show the following:</w:t>
      </w:r>
    </w:p>
    <w:p>
      <w:pPr>
        <w:pStyle w:val="NormalIndent"/>
      </w:pPr>
      <w:r>
        <w:rPr/>
        <w:t xml:space="preserve">Manufacturer's identification.</w:t>
      </w:r>
    </w:p>
    <w:p>
      <w:pPr>
        <w:pStyle w:val="NormalIndent"/>
      </w:pPr>
      <w:r>
        <w:rPr/>
        <w:t xml:space="preserve">Product brand name.</w:t>
      </w:r>
    </w:p>
    <w:p>
      <w:pPr>
        <w:pStyle w:val="NormalIndent"/>
      </w:pPr>
      <w:r>
        <w:rPr/>
        <w:t xml:space="preserve">Product type.</w:t>
      </w:r>
    </w:p>
    <w:p>
      <w:pPr>
        <w:pStyle w:val="NormalIndent"/>
      </w:pPr>
      <w:r>
        <w:rPr/>
        <w:t xml:space="preserve">Quantity.</w:t>
      </w:r>
    </w:p>
    <w:p>
      <w:pPr>
        <w:pStyle w:val="NormalIndent"/>
      </w:pPr>
      <w:r>
        <w:rPr/>
        <w:t xml:space="preserve">Product reference code and batch number.</w:t>
      </w:r>
    </w:p>
    <w:p>
      <w:pPr>
        <w:pStyle w:val="NormalIndent"/>
      </w:pPr>
      <w:r>
        <w:rPr/>
        <w:t xml:space="preserve">Date of manufacture.</w:t>
      </w:r>
    </w:p>
    <w:p>
      <w:pPr>
        <w:pStyle w:val="Instructions"/>
      </w:pPr>
      <w:r>
        <w:rPr/>
        <w:t xml:space="preserve">Edit the list to suit the project or delete if not required.</w:t>
      </w:r>
    </w:p>
    <w:bookmarkEnd w:id="90"/>
    <w:bookmarkEnd w:id="89"/>
    <w:bookmarkEnd w:id="88"/>
    <w:bookmarkStart w:name="f-28900-5" w:id="92"/>
    <w:p>
      <w:pPr>
        <w:pStyle w:val="Heading4"/>
      </w:pPr>
      <w:bookmarkStart w:name="h-28900-5" w:id="93"/>
      <w:r>
        <w:rPr/>
        <w:t xml:space="preserve">Samples</w:t>
      </w:r>
      <w:bookmarkEnd w:id="93"/>
    </w:p>
    <w:p>
      <w:pPr>
        <w:pStyle w:val="Body Text"/>
      </w:pPr>
      <w:r>
        <w:rPr/>
        <w:t xml:space="preserve">Requirement: Provide samples showing the colour and finish of each of the following:</w:t>
      </w:r>
    </w:p>
    <w:p>
      <w:pPr>
        <w:pStyle w:val="NormalIndent"/>
      </w:pPr>
      <w:r>
        <w:rPr/>
        <w:t xml:space="preserve">Discrete TGSIs: </w:t>
      </w:r>
    </w:p>
    <w:p>
      <w:pPr>
        <w:pStyle w:val="NormalIndent2"/>
      </w:pPr>
      <w:r>
        <w:rPr/>
        <w:t xml:space="preserve">Studs.</w:t>
      </w:r>
    </w:p>
    <w:p>
      <w:pPr>
        <w:pStyle w:val="NormalIndent"/>
      </w:pPr>
      <w:r>
        <w:rPr/>
        <w:t xml:space="preserve">Integrated TGSIs: </w:t>
      </w:r>
    </w:p>
    <w:p>
      <w:pPr>
        <w:pStyle w:val="NormalIndent2"/>
      </w:pPr>
      <w:r>
        <w:rPr/>
        <w:t xml:space="preserve">Stainless steel and inserts.</w:t>
      </w:r>
    </w:p>
    <w:p>
      <w:pPr>
        <w:pStyle w:val="NormalIndent2"/>
      </w:pPr>
      <w:r>
        <w:rPr/>
        <w:t xml:space="preserve">Polyurethane.</w:t>
      </w:r>
    </w:p>
    <w:p>
      <w:pPr>
        <w:pStyle w:val="NormalIndent2"/>
      </w:pPr>
      <w:r>
        <w:rPr/>
        <w:t xml:space="preserve">FRP.</w:t>
      </w:r>
    </w:p>
    <w:p>
      <w:pPr>
        <w:pStyle w:val="NormalIndent"/>
      </w:pPr>
      <w:r>
        <w:rPr/>
        <w:t xml:space="preserve">Stair nosing: </w:t>
      </w:r>
    </w:p>
    <w:p>
      <w:pPr>
        <w:pStyle w:val="NormalIndent2"/>
      </w:pPr>
      <w:r>
        <w:rPr/>
        <w:t xml:space="preserve">Aluminium and inserts.</w:t>
      </w:r>
    </w:p>
    <w:p>
      <w:pPr>
        <w:pStyle w:val="NormalIndent2"/>
      </w:pPr>
      <w:r>
        <w:rPr/>
        <w:t xml:space="preserve">Brass.</w:t>
      </w:r>
    </w:p>
    <w:p>
      <w:pPr>
        <w:pStyle w:val="NormalIndent2"/>
      </w:pPr>
      <w:r>
        <w:rPr/>
        <w:t xml:space="preserve">Fibreglass.</w:t>
      </w:r>
    </w:p>
    <w:p>
      <w:pPr>
        <w:pStyle w:val="NormalIndent"/>
      </w:pPr>
      <w:r>
        <w:rPr/>
        <w:t xml:space="preserve">Anti‑slip tape.</w:t>
      </w:r>
    </w:p>
    <w:p>
      <w:pPr>
        <w:pStyle w:val="Instructions"/>
      </w:pPr>
      <w:r>
        <w:rPr/>
        <w:t xml:space="preserve">Edit the list to suit the project or delete if not required.</w:t>
      </w:r>
    </w:p>
    <w:bookmarkEnd w:id="92"/>
    <w:bookmarkStart w:name="f-28900-6" w:id="94"/>
    <w:p>
      <w:pPr>
        <w:pStyle w:val="Heading4"/>
      </w:pPr>
      <w:bookmarkStart w:name="h-28900-6" w:id="95"/>
      <w:r>
        <w:rPr/>
        <w:t xml:space="preserve">Tests</w:t>
      </w:r>
      <w:bookmarkEnd w:id="95"/>
    </w:p>
    <w:bookmarkStart w:name="f-22751" w:id="96"/>
    <w:bookmarkStart w:name="f-22751-1" w:id="97"/>
    <w:p>
      <w:pPr>
        <w:pStyle w:val="Instructions"/>
      </w:pPr>
      <w:r>
        <w:rPr>
          <w:i/>
        </w:rPr>
        <w:t xml:space="preserve">0171 General requirements</w:t>
      </w:r>
      <w:r>
        <w:rPr/>
        <w:t xml:space="preserve"> defines different tests in </w:t>
      </w:r>
      <w:r>
        <w:rPr>
          <w:b/>
        </w:rPr>
        <w:t xml:space="preserve">INTERPRETATION</w:t>
      </w:r>
      <w:r>
        <w:rPr/>
        <w:t xml:space="preserve">, </w:t>
      </w:r>
      <w:r>
        <w:rPr>
          <w:b/>
        </w:rPr>
        <w:t xml:space="preserve">Definitions</w:t>
      </w:r>
      <w:r>
        <w:rPr/>
        <w:t xml:space="preserve">.</w:t>
      </w:r>
    </w:p>
    <w:bookmarkEnd w:id="97"/>
    <w:bookmarkEnd w:id="96"/>
    <w:p>
      <w:pPr>
        <w:pStyle w:val="Body Text"/>
      </w:pPr>
      <w:r>
        <w:rPr/>
        <w:t xml:space="preserve">Slip resistance of TGSIs and stair nosing: To AS 4586 (2013).</w:t>
      </w:r>
    </w:p>
    <w:p>
      <w:pPr>
        <w:pStyle w:val="Body Text"/>
      </w:pPr>
      <w:r>
        <w:rPr/>
        <w:t xml:space="preserve">Luminance reflectance of TGSIs and stair nosing: To AS/NZS 1428.4.1 (2009) Appendix E and AS 1428.1 (2021) Appendix B.</w:t>
      </w:r>
    </w:p>
    <w:p>
      <w:pPr>
        <w:pStyle w:val="Instructions"/>
      </w:pPr>
      <w:r>
        <w:rPr/>
        <w:t xml:space="preserve">The NCC cites AS 1428.4 (1992) and AS/NZS 1428.4.1 (2009). The current edition is AS/NZS 1428.4.1 (2009).</w:t>
      </w:r>
    </w:p>
    <w:p>
      <w:pPr>
        <w:pStyle w:val="Instructions"/>
      </w:pPr>
      <w:r>
        <w:rPr/>
        <w:t xml:space="preserve">The NCC cites AS 1428.1 (2001) and AS 1428.1 (2021). The current edition is AS 1428.1 (2021).</w:t>
      </w:r>
    </w:p>
    <w:bookmarkEnd w:id="94"/>
    <w:bookmarkStart w:name="f-28900-7" w:id="98"/>
    <w:p>
      <w:pPr>
        <w:pStyle w:val="Heading3"/>
      </w:pPr>
      <w:bookmarkStart w:name="h-28900-7" w:id="99"/>
      <w:r>
        <w:rPr/>
        <w:t xml:space="preserve">GUARDIAN TACTILE SYSTEMS DISCRETE TGSI</w:t>
      </w:r>
      <w:bookmarkEnd w:id="99"/>
    </w:p>
    <w:p>
      <w:pPr>
        <w:pStyle w:val="Instructions"/>
      </w:pPr>
      <w:r>
        <w:rPr/>
        <w:t xml:space="preserve">Document in the </w:t>
      </w:r>
      <w:r>
        <w:rPr>
          <w:b/>
        </w:rPr>
        <w:t xml:space="preserve">Discrete TGSI schedule</w:t>
      </w:r>
      <w:r>
        <w:rPr/>
        <w:t xml:space="preserve">.</w:t>
      </w:r>
    </w:p>
    <w:bookmarkEnd w:id="98"/>
    <w:bookmarkStart w:name="f-28900-8" w:id="100"/>
    <w:p>
      <w:pPr>
        <w:pStyle w:val="Heading4"/>
      </w:pPr>
      <w:bookmarkStart w:name="h-28900-8" w:id="101"/>
      <w:r>
        <w:rPr/>
        <w:t xml:space="preserve">General</w:t>
      </w:r>
      <w:bookmarkEnd w:id="101"/>
    </w:p>
    <w:p>
      <w:pPr>
        <w:pStyle w:val="Body Text"/>
      </w:pPr>
      <w:r>
        <w:rPr/>
        <w:t xml:space="preserve">Description: Warning or directional TGSIs made from individual truncated cones or strips on stems.</w:t>
      </w:r>
    </w:p>
    <w:p>
      <w:pPr>
        <w:pStyle w:val="Body Text"/>
      </w:pPr>
      <w:r>
        <w:rPr/>
        <w:t xml:space="preserve">Standard: To AS/NZS 1428.4.1 (2009).</w:t>
      </w:r>
    </w:p>
    <w:p>
      <w:pPr>
        <w:pStyle w:val="Instructions"/>
      </w:pPr>
      <w:r>
        <w:rPr/>
        <w:t xml:space="preserve">The NCC cites AS 1428.4 (1992) and AS/NZS 1428.4.1 (2009). The current edition is AS/NZS 1428.4.1 (2009).</w:t>
      </w:r>
    </w:p>
    <w:bookmarkEnd w:id="100"/>
    <w:bookmarkStart w:name="f-28900-9" w:id="102"/>
    <w:p>
      <w:pPr>
        <w:pStyle w:val="Heading4"/>
      </w:pPr>
      <w:bookmarkStart w:name="h-28900-9" w:id="103"/>
      <w:r>
        <w:rPr/>
        <w:t xml:space="preserve">Stainless steel warning</w:t>
      </w:r>
      <w:bookmarkEnd w:id="103"/>
    </w:p>
    <w:p>
      <w:pPr>
        <w:pStyle w:val="Body Text"/>
      </w:pPr>
      <w:r>
        <w:rPr/>
        <w:t xml:space="preserve">Description: Type 316 stainless steel TGSI with concentric ring design and smooth sides.</w:t>
      </w:r>
    </w:p>
    <w:p>
      <w:pPr>
        <w:pStyle w:val="Body Text"/>
      </w:pPr>
      <w:r>
        <w:rPr/>
        <w:t xml:space="preserve">Slip resistance rating to AS 4586 (2013): P5.</w:t>
      </w:r>
    </w:p>
    <w:p>
      <w:pPr>
        <w:pStyle w:val="Instructions"/>
      </w:pPr>
      <w:r>
        <w:rPr/>
        <w:t xml:space="preserve">Available in stainless steel, black or gold PVD finish with various stem options.</w:t>
      </w:r>
    </w:p>
    <w:bookmarkEnd w:id="102"/>
    <w:bookmarkStart w:name="f-28900-10" w:id="104"/>
    <w:p>
      <w:pPr>
        <w:pStyle w:val="Heading4"/>
      </w:pPr>
      <w:bookmarkStart w:name="h-28900-10" w:id="105"/>
      <w:r>
        <w:rPr/>
        <w:t xml:space="preserve">Brass warning</w:t>
      </w:r>
      <w:bookmarkEnd w:id="105"/>
    </w:p>
    <w:p>
      <w:pPr>
        <w:pStyle w:val="Body Text"/>
      </w:pPr>
      <w:r>
        <w:rPr/>
        <w:t xml:space="preserve">Description: Solid brass TGSI with concentric ring design and smooth sides.</w:t>
      </w:r>
    </w:p>
    <w:p>
      <w:pPr>
        <w:pStyle w:val="Body Text"/>
      </w:pPr>
      <w:r>
        <w:rPr/>
        <w:t xml:space="preserve">Slip resistance rating to AS 4586 (2013): P5.</w:t>
      </w:r>
    </w:p>
    <w:p>
      <w:pPr>
        <w:pStyle w:val="Instructions"/>
      </w:pPr>
      <w:r>
        <w:rPr/>
        <w:t xml:space="preserve">Available with various stem options.</w:t>
      </w:r>
    </w:p>
    <w:bookmarkEnd w:id="104"/>
    <w:bookmarkStart w:name="f-28900-34" w:id="106"/>
    <w:p>
      <w:pPr>
        <w:pStyle w:val="Heading4"/>
      </w:pPr>
      <w:bookmarkStart w:name="h-28900-34" w:id="107"/>
      <w:r>
        <w:rPr/>
        <w:t xml:space="preserve">Stainless steel warning ‑ plug and screw</w:t>
      </w:r>
      <w:bookmarkEnd w:id="107"/>
    </w:p>
    <w:p>
      <w:pPr>
        <w:pStyle w:val="Body Text"/>
      </w:pPr>
      <w:r>
        <w:rPr/>
        <w:t xml:space="preserve">Description: Type 316 stainless steel TGSI with concentric ring design, smooth sides, and plug and screw design.</w:t>
      </w:r>
    </w:p>
    <w:p>
      <w:pPr>
        <w:pStyle w:val="Body Text"/>
      </w:pPr>
      <w:r>
        <w:rPr/>
        <w:t xml:space="preserve">Slip resistance rating to AS 4586 (2013): P5.</w:t>
      </w:r>
    </w:p>
    <w:bookmarkEnd w:id="106"/>
    <w:bookmarkStart w:name="f-28900-12" w:id="108"/>
    <w:p>
      <w:pPr>
        <w:pStyle w:val="Heading4"/>
      </w:pPr>
      <w:bookmarkStart w:name="h-28900-12" w:id="109"/>
      <w:r>
        <w:rPr/>
        <w:t xml:space="preserve">Stainless steel warning ‑ carborundum insert</w:t>
      </w:r>
      <w:bookmarkEnd w:id="109"/>
    </w:p>
    <w:p>
      <w:pPr>
        <w:pStyle w:val="Body Text"/>
      </w:pPr>
      <w:r>
        <w:rPr/>
        <w:t xml:space="preserve">Description: Type 316 stainless steel TGSI with carborundum insert and smooth sides.</w:t>
      </w:r>
    </w:p>
    <w:p>
      <w:pPr>
        <w:pStyle w:val="Body Text"/>
      </w:pPr>
      <w:r>
        <w:rPr/>
        <w:t xml:space="preserve">Slip resistance rating to AS 4586 (2013): P5.</w:t>
      </w:r>
    </w:p>
    <w:p>
      <w:pPr>
        <w:pStyle w:val="Instructions"/>
      </w:pPr>
      <w:r>
        <w:rPr/>
        <w:t xml:space="preserve">Available in stainless steel with black or yellow carborundum insert and various stem options.</w:t>
      </w:r>
    </w:p>
    <w:bookmarkEnd w:id="108"/>
    <w:bookmarkStart w:name="f-28900-13" w:id="110"/>
    <w:p>
      <w:pPr>
        <w:pStyle w:val="Heading4"/>
      </w:pPr>
      <w:bookmarkStart w:name="h-28900-13" w:id="111"/>
      <w:r>
        <w:rPr/>
        <w:t xml:space="preserve">Stainless steel warning ‑ polyurethane insert</w:t>
      </w:r>
      <w:bookmarkEnd w:id="111"/>
    </w:p>
    <w:p>
      <w:pPr>
        <w:pStyle w:val="Body Text"/>
      </w:pPr>
      <w:r>
        <w:rPr/>
        <w:t xml:space="preserve">Description: Type 316 stainless steel TGSI with black TPU insert and smooth sides.</w:t>
      </w:r>
    </w:p>
    <w:p>
      <w:pPr>
        <w:pStyle w:val="Body Text"/>
      </w:pPr>
      <w:r>
        <w:rPr/>
        <w:t xml:space="preserve">Slip resistance rating to AS 4586 (2013): P5.</w:t>
      </w:r>
    </w:p>
    <w:p>
      <w:pPr>
        <w:pStyle w:val="Instructions"/>
      </w:pPr>
      <w:r>
        <w:rPr/>
        <w:t xml:space="preserve">Available with various stem options.</w:t>
      </w:r>
    </w:p>
    <w:bookmarkEnd w:id="110"/>
    <w:bookmarkStart w:name="f-28900-14" w:id="112"/>
    <w:p>
      <w:pPr>
        <w:pStyle w:val="Heading4"/>
      </w:pPr>
      <w:bookmarkStart w:name="h-28900-14" w:id="113"/>
      <w:r>
        <w:rPr/>
        <w:t xml:space="preserve">Stainless steel directional</w:t>
      </w:r>
      <w:bookmarkEnd w:id="113"/>
    </w:p>
    <w:p>
      <w:pPr>
        <w:pStyle w:val="Body Text"/>
      </w:pPr>
      <w:r>
        <w:rPr/>
        <w:t xml:space="preserve">Description: Type 316 stainless steel TGSI fluted strip with smooth sides.</w:t>
      </w:r>
    </w:p>
    <w:p>
      <w:pPr>
        <w:pStyle w:val="Body Text"/>
      </w:pPr>
      <w:r>
        <w:rPr/>
        <w:t xml:space="preserve">Size: 35 x 290 mm.</w:t>
      </w:r>
    </w:p>
    <w:p>
      <w:pPr>
        <w:pStyle w:val="Body Text"/>
      </w:pPr>
      <w:r>
        <w:rPr/>
        <w:t xml:space="preserve">Slip resistance rating to AS 4586 (2013): P5.</w:t>
      </w:r>
    </w:p>
    <w:p>
      <w:pPr>
        <w:pStyle w:val="Instructions"/>
      </w:pPr>
      <w:r>
        <w:rPr/>
        <w:t xml:space="preserve">Available with three 15 mm stems.</w:t>
      </w:r>
    </w:p>
    <w:bookmarkEnd w:id="112"/>
    <w:bookmarkStart w:name="f-28900-15" w:id="114"/>
    <w:p>
      <w:pPr>
        <w:pStyle w:val="Heading3"/>
      </w:pPr>
      <w:bookmarkStart w:name="h-28900-15" w:id="115"/>
      <w:r>
        <w:rPr/>
        <w:t xml:space="preserve">GUARDIAN TACTILE SYSTEMS INTEGRATED TGSI</w:t>
      </w:r>
      <w:bookmarkEnd w:id="115"/>
    </w:p>
    <w:p>
      <w:pPr>
        <w:pStyle w:val="Instructions"/>
      </w:pPr>
      <w:r>
        <w:rPr/>
        <w:t xml:space="preserve">Document in the </w:t>
      </w:r>
      <w:r>
        <w:rPr>
          <w:b/>
        </w:rPr>
        <w:t xml:space="preserve">Integrated TGSI schedule</w:t>
      </w:r>
      <w:r>
        <w:rPr/>
        <w:t xml:space="preserve">.</w:t>
      </w:r>
    </w:p>
    <w:bookmarkEnd w:id="114"/>
    <w:bookmarkStart w:name="f-28900-16" w:id="116"/>
    <w:p>
      <w:pPr>
        <w:pStyle w:val="Heading4"/>
      </w:pPr>
      <w:bookmarkStart w:name="h-28900-16" w:id="117"/>
      <w:r>
        <w:rPr/>
        <w:t xml:space="preserve">General</w:t>
      </w:r>
      <w:bookmarkEnd w:id="117"/>
    </w:p>
    <w:p>
      <w:pPr>
        <w:pStyle w:val="Body Text"/>
      </w:pPr>
      <w:r>
        <w:rPr/>
        <w:t xml:space="preserve">Description: Warning or directional TGSIs made from a single plate or mat with integrated truncated cones or strips.</w:t>
      </w:r>
    </w:p>
    <w:p>
      <w:pPr>
        <w:pStyle w:val="Body Text"/>
      </w:pPr>
      <w:r>
        <w:rPr/>
        <w:t xml:space="preserve">Standard: To AS/NZS 1428.4.1 (2009).</w:t>
      </w:r>
    </w:p>
    <w:p>
      <w:pPr>
        <w:pStyle w:val="Instructions"/>
      </w:pPr>
      <w:r>
        <w:rPr/>
        <w:t xml:space="preserve">The NCC cites AS 1428.4 (1992) and AS/NZS 1428.4.1 (2009). The current edition is AS/NZS 1428.4.1 (2009).</w:t>
      </w:r>
    </w:p>
    <w:bookmarkEnd w:id="116"/>
    <w:bookmarkStart w:name="f-28900-17" w:id="118"/>
    <w:p>
      <w:pPr>
        <w:pStyle w:val="Heading4"/>
      </w:pPr>
      <w:bookmarkStart w:name="h-28900-17" w:id="119"/>
      <w:r>
        <w:rPr/>
        <w:t xml:space="preserve">Stainless steel warning</w:t>
      </w:r>
      <w:bookmarkEnd w:id="119"/>
    </w:p>
    <w:p>
      <w:pPr>
        <w:pStyle w:val="Body Text"/>
      </w:pPr>
      <w:r>
        <w:rPr/>
        <w:t xml:space="preserve">Description: Type 316 stainless steel plate with welded truncated cones, concentric ring design and smooth sides.</w:t>
      </w:r>
    </w:p>
    <w:p>
      <w:pPr>
        <w:pStyle w:val="Body Text"/>
      </w:pPr>
      <w:r>
        <w:rPr/>
        <w:t xml:space="preserve">Size: 600 x 300 x 3 mm.</w:t>
      </w:r>
    </w:p>
    <w:p>
      <w:pPr>
        <w:pStyle w:val="Body Text"/>
      </w:pPr>
      <w:r>
        <w:rPr/>
        <w:t xml:space="preserve">Slip resistance rating to AS 4586 (2013): P5.</w:t>
      </w:r>
    </w:p>
    <w:p>
      <w:pPr>
        <w:pStyle w:val="Instructions"/>
      </w:pPr>
      <w:r>
        <w:rPr/>
        <w:t xml:space="preserve">Mechanically fixed.</w:t>
      </w:r>
    </w:p>
    <w:bookmarkEnd w:id="118"/>
    <w:bookmarkStart w:name="f-28900-18" w:id="120"/>
    <w:p>
      <w:pPr>
        <w:pStyle w:val="Heading4"/>
      </w:pPr>
      <w:bookmarkStart w:name="h-28900-18" w:id="121"/>
      <w:r>
        <w:rPr/>
        <w:t xml:space="preserve">Stainless steel warning ‑ polyurethane insert</w:t>
      </w:r>
      <w:bookmarkEnd w:id="121"/>
    </w:p>
    <w:p>
      <w:pPr>
        <w:pStyle w:val="Body Text"/>
      </w:pPr>
      <w:r>
        <w:rPr/>
        <w:t xml:space="preserve">Description: Type 316 stainless steel plate with welded truncated cones, black TPU insert and smooth sides.</w:t>
      </w:r>
    </w:p>
    <w:p>
      <w:pPr>
        <w:pStyle w:val="Body Text"/>
      </w:pPr>
      <w:r>
        <w:rPr/>
        <w:t xml:space="preserve">Size: 600 x 300 x 3 mm.</w:t>
      </w:r>
    </w:p>
    <w:p>
      <w:pPr>
        <w:pStyle w:val="Body Text"/>
      </w:pPr>
      <w:r>
        <w:rPr/>
        <w:t xml:space="preserve">Slip resistance rating to AS 4586 (2013): P5.</w:t>
      </w:r>
    </w:p>
    <w:p>
      <w:pPr>
        <w:pStyle w:val="Instructions"/>
      </w:pPr>
      <w:r>
        <w:rPr/>
        <w:t xml:space="preserve">Mechanically fixed.</w:t>
      </w:r>
    </w:p>
    <w:bookmarkEnd w:id="120"/>
    <w:bookmarkStart w:name="f-28900-19" w:id="122"/>
    <w:p>
      <w:pPr>
        <w:pStyle w:val="Heading4"/>
      </w:pPr>
      <w:bookmarkStart w:name="h-28900-19" w:id="123"/>
      <w:r>
        <w:rPr/>
        <w:t xml:space="preserve">Polyurethane warning</w:t>
      </w:r>
      <w:bookmarkEnd w:id="123"/>
    </w:p>
    <w:p>
      <w:pPr>
        <w:pStyle w:val="Body Text"/>
      </w:pPr>
      <w:r>
        <w:rPr/>
        <w:t xml:space="preserve">Description: UV‑resistant polyurethane mat with integrated truncated cones.</w:t>
      </w:r>
    </w:p>
    <w:p>
      <w:pPr>
        <w:pStyle w:val="Body Text"/>
      </w:pPr>
      <w:r>
        <w:rPr/>
        <w:t xml:space="preserve">Size: 300 x 300 mm or 400 x 400 mm.</w:t>
      </w:r>
    </w:p>
    <w:p>
      <w:pPr>
        <w:pStyle w:val="Body Text"/>
      </w:pPr>
      <w:r>
        <w:rPr/>
        <w:t xml:space="preserve">Slip resistance rating to AS 4586 (2013): P5.</w:t>
      </w:r>
    </w:p>
    <w:p>
      <w:pPr>
        <w:pStyle w:val="Instructions"/>
      </w:pPr>
      <w:r>
        <w:rPr/>
        <w:t xml:space="preserve">Adhesive or mechanically fixed. Available in various colours.</w:t>
      </w:r>
    </w:p>
    <w:bookmarkEnd w:id="122"/>
    <w:bookmarkStart w:name="f-28900-20" w:id="124"/>
    <w:p>
      <w:pPr>
        <w:pStyle w:val="Heading4"/>
      </w:pPr>
      <w:bookmarkStart w:name="h-28900-20" w:id="125"/>
      <w:r>
        <w:rPr/>
        <w:t xml:space="preserve">FRP warning</w:t>
      </w:r>
      <w:bookmarkEnd w:id="125"/>
    </w:p>
    <w:p>
      <w:pPr>
        <w:pStyle w:val="Body Text"/>
      </w:pPr>
      <w:r>
        <w:rPr/>
        <w:t xml:space="preserve">Description: Fibre reinforced resin polymer FRP mat with integrated truncated cones.</w:t>
      </w:r>
    </w:p>
    <w:p>
      <w:pPr>
        <w:pStyle w:val="Body Text"/>
      </w:pPr>
      <w:r>
        <w:rPr/>
        <w:t xml:space="preserve">Size: 600 x 300 mm.</w:t>
      </w:r>
    </w:p>
    <w:p>
      <w:pPr>
        <w:pStyle w:val="Body Text"/>
      </w:pPr>
      <w:r>
        <w:rPr/>
        <w:t xml:space="preserve">Slip resistance rating to AS 4586 (2013): P5.</w:t>
      </w:r>
    </w:p>
    <w:p>
      <w:pPr>
        <w:pStyle w:val="Instructions"/>
      </w:pPr>
      <w:r>
        <w:rPr/>
        <w:t xml:space="preserve">Mechanically fixed. Available in various colours.</w:t>
      </w:r>
    </w:p>
    <w:bookmarkEnd w:id="124"/>
    <w:bookmarkStart w:name="f-28900-21" w:id="126"/>
    <w:p>
      <w:pPr>
        <w:pStyle w:val="Heading4"/>
      </w:pPr>
      <w:bookmarkStart w:name="h-28900-21" w:id="127"/>
      <w:r>
        <w:rPr/>
        <w:t xml:space="preserve">FRP directional</w:t>
      </w:r>
      <w:bookmarkEnd w:id="127"/>
    </w:p>
    <w:p>
      <w:pPr>
        <w:pStyle w:val="Body Text"/>
      </w:pPr>
      <w:r>
        <w:rPr/>
        <w:t xml:space="preserve">Description: Fibre reinforced resin polymer mat with integrated strips.</w:t>
      </w:r>
    </w:p>
    <w:p>
      <w:pPr>
        <w:pStyle w:val="Body Text"/>
      </w:pPr>
      <w:r>
        <w:rPr/>
        <w:t xml:space="preserve">Size: 600 x 300 mm.</w:t>
      </w:r>
    </w:p>
    <w:p>
      <w:pPr>
        <w:pStyle w:val="Body Text"/>
      </w:pPr>
      <w:r>
        <w:rPr/>
        <w:t xml:space="preserve">Slip resistance rating to AS 4586 (2013): P5.</w:t>
      </w:r>
    </w:p>
    <w:p>
      <w:pPr>
        <w:pStyle w:val="Instructions"/>
      </w:pPr>
      <w:r>
        <w:rPr/>
        <w:t xml:space="preserve">Mechanically fixed. Available in various colours.</w:t>
      </w:r>
    </w:p>
    <w:bookmarkEnd w:id="126"/>
    <w:bookmarkStart w:name="f-28900-22" w:id="128"/>
    <w:p>
      <w:pPr>
        <w:pStyle w:val="Heading3"/>
      </w:pPr>
      <w:bookmarkStart w:name="h-28900-22" w:id="129"/>
      <w:r>
        <w:rPr/>
        <w:t xml:space="preserve">GUARDIAN TACTILE SYSTEMS STAIR NOSING</w:t>
      </w:r>
      <w:bookmarkEnd w:id="129"/>
    </w:p>
    <w:p>
      <w:pPr>
        <w:pStyle w:val="Instructions"/>
      </w:pPr>
      <w:r>
        <w:rPr/>
        <w:t xml:space="preserve">Document in the </w:t>
      </w:r>
      <w:r>
        <w:rPr>
          <w:b/>
        </w:rPr>
        <w:t xml:space="preserve">Stair nosing schedule</w:t>
      </w:r>
      <w:r>
        <w:rPr/>
        <w:t xml:space="preserve">.</w:t>
      </w:r>
    </w:p>
    <w:p>
      <w:pPr>
        <w:pStyle w:val="Instructions"/>
      </w:pPr>
      <w:r>
        <w:rPr/>
        <w:t xml:space="preserve">GUARDIAN TACTILE SYSTEMS stair nosings are suitable for internal and external use.</w:t>
      </w:r>
    </w:p>
    <w:bookmarkEnd w:id="128"/>
    <w:bookmarkStart w:name="f-28900-23" w:id="130"/>
    <w:p>
      <w:pPr>
        <w:pStyle w:val="Heading4"/>
      </w:pPr>
      <w:bookmarkStart w:name="h-28900-23" w:id="131"/>
      <w:r>
        <w:rPr/>
        <w:t xml:space="preserve">General</w:t>
      </w:r>
      <w:bookmarkEnd w:id="131"/>
    </w:p>
    <w:p>
      <w:pPr>
        <w:pStyle w:val="Body Text"/>
      </w:pPr>
      <w:r>
        <w:rPr/>
        <w:t xml:space="preserve">Standard: To AS 1428.1 (2021).</w:t>
      </w:r>
    </w:p>
    <w:p>
      <w:pPr>
        <w:pStyle w:val="Instructions"/>
      </w:pPr>
      <w:r>
        <w:rPr/>
        <w:t xml:space="preserve">The NCC cites AS 1428.1 (2001) and AS 1428.1 (2021). The current edition is AS 1428.1 (2021).</w:t>
      </w:r>
    </w:p>
    <w:bookmarkEnd w:id="130"/>
    <w:bookmarkStart w:name="f-28900-24" w:id="132"/>
    <w:p>
      <w:pPr>
        <w:pStyle w:val="Heading4"/>
      </w:pPr>
      <w:bookmarkStart w:name="h-28900-24" w:id="133"/>
      <w:r>
        <w:rPr/>
        <w:t xml:space="preserve">Aluminium Corrugated Strip</w:t>
      </w:r>
      <w:bookmarkEnd w:id="133"/>
    </w:p>
    <w:p>
      <w:pPr>
        <w:pStyle w:val="Body Text"/>
      </w:pPr>
      <w:r>
        <w:rPr/>
        <w:t xml:space="preserve">Description: Anodised aluminium profiled stair nosing strip</w:t>
      </w:r>
    </w:p>
    <w:p>
      <w:pPr>
        <w:pStyle w:val="Body Text"/>
      </w:pPr>
      <w:r>
        <w:rPr/>
        <w:t xml:space="preserve">Size: 3 x 60 mm.</w:t>
      </w:r>
    </w:p>
    <w:p>
      <w:pPr>
        <w:pStyle w:val="Body Text"/>
      </w:pPr>
      <w:r>
        <w:rPr/>
        <w:t xml:space="preserve">Mounting: Recessed or surface‑mounted.</w:t>
      </w:r>
    </w:p>
    <w:p>
      <w:pPr>
        <w:pStyle w:val="Body Text"/>
      </w:pPr>
      <w:r>
        <w:rPr/>
        <w:t xml:space="preserve">Slip resistance rating to AS 4586 (2013): P5.</w:t>
      </w:r>
    </w:p>
    <w:p>
      <w:pPr>
        <w:pStyle w:val="Instructions"/>
      </w:pPr>
      <w:r>
        <w:rPr/>
        <w:t xml:space="preserve">Available in a range of colours.</w:t>
      </w:r>
    </w:p>
    <w:bookmarkEnd w:id="132"/>
    <w:bookmarkStart w:name="f-28900-25" w:id="134"/>
    <w:p>
      <w:pPr>
        <w:pStyle w:val="Heading4"/>
      </w:pPr>
      <w:bookmarkStart w:name="h-28900-25" w:id="135"/>
      <w:r>
        <w:rPr/>
        <w:t xml:space="preserve">Aluminium Corrugated Mini</w:t>
      </w:r>
      <w:bookmarkEnd w:id="135"/>
    </w:p>
    <w:p>
      <w:pPr>
        <w:pStyle w:val="Body Text"/>
      </w:pPr>
      <w:r>
        <w:rPr/>
        <w:t xml:space="preserve">Description: Anodised aluminium profiled stair nosing with grooves parallel to the nosing edge.</w:t>
      </w:r>
    </w:p>
    <w:p>
      <w:pPr>
        <w:pStyle w:val="Body Text"/>
      </w:pPr>
      <w:r>
        <w:rPr/>
        <w:t xml:space="preserve">Size: 10 x 50 mm.</w:t>
      </w:r>
    </w:p>
    <w:p>
      <w:pPr>
        <w:pStyle w:val="Body Text"/>
      </w:pPr>
      <w:r>
        <w:rPr/>
        <w:t xml:space="preserve">Mounting: Surface‑mounted.</w:t>
      </w:r>
    </w:p>
    <w:p>
      <w:pPr>
        <w:pStyle w:val="Body Text"/>
      </w:pPr>
      <w:r>
        <w:rPr/>
        <w:t xml:space="preserve">Slip resistance rating to AS 4586 (2013): P5.</w:t>
      </w:r>
    </w:p>
    <w:p>
      <w:pPr>
        <w:pStyle w:val="Instructions"/>
      </w:pPr>
      <w:r>
        <w:rPr/>
        <w:t xml:space="preserve">Available in a range of colours.</w:t>
      </w:r>
    </w:p>
    <w:bookmarkEnd w:id="134"/>
    <w:bookmarkStart w:name="f-28900-26" w:id="136"/>
    <w:p>
      <w:pPr>
        <w:pStyle w:val="Heading4"/>
      </w:pPr>
      <w:bookmarkStart w:name="h-28900-26" w:id="137"/>
      <w:r>
        <w:rPr/>
        <w:t xml:space="preserve">Aluminium Recessed Strip</w:t>
      </w:r>
      <w:bookmarkEnd w:id="137"/>
    </w:p>
    <w:p>
      <w:pPr>
        <w:pStyle w:val="Body Text"/>
      </w:pPr>
      <w:r>
        <w:rPr/>
        <w:t xml:space="preserve">Description: Anodised aluminium stair nosing strip with carborundum insert.</w:t>
      </w:r>
    </w:p>
    <w:p>
      <w:pPr>
        <w:pStyle w:val="Body Text"/>
      </w:pPr>
      <w:r>
        <w:rPr/>
        <w:t xml:space="preserve">Size: 10 x 55 mm.</w:t>
      </w:r>
    </w:p>
    <w:p>
      <w:pPr>
        <w:pStyle w:val="Body Text"/>
      </w:pPr>
      <w:r>
        <w:rPr/>
        <w:t xml:space="preserve">Mounting: Recessed.</w:t>
      </w:r>
    </w:p>
    <w:p>
      <w:pPr>
        <w:pStyle w:val="Body Text"/>
      </w:pPr>
      <w:r>
        <w:rPr/>
        <w:t xml:space="preserve">Slip resistance rating to AS 4586 (2013): P5.</w:t>
      </w:r>
    </w:p>
    <w:p>
      <w:pPr>
        <w:pStyle w:val="Instructions"/>
      </w:pPr>
      <w:r>
        <w:rPr/>
        <w:t xml:space="preserve">Available in clear, black or brass anodised finish with a range of insert colours.</w:t>
      </w:r>
    </w:p>
    <w:bookmarkEnd w:id="136"/>
    <w:bookmarkStart w:name="f-28900-27" w:id="138"/>
    <w:p>
      <w:pPr>
        <w:pStyle w:val="Heading4"/>
      </w:pPr>
      <w:bookmarkStart w:name="h-28900-27" w:id="139"/>
      <w:r>
        <w:rPr/>
        <w:t xml:space="preserve">Guardian Non‑Slip Stair Nosing ‑ Ramp Back</w:t>
      </w:r>
      <w:bookmarkEnd w:id="139"/>
    </w:p>
    <w:p>
      <w:pPr>
        <w:pStyle w:val="Body Text"/>
      </w:pPr>
      <w:r>
        <w:rPr/>
        <w:t xml:space="preserve">Description: Anodised aluminium stair nosing with ramped back edge and silicon carbide insert tape.</w:t>
      </w:r>
    </w:p>
    <w:p>
      <w:pPr>
        <w:pStyle w:val="Body Text"/>
      </w:pPr>
      <w:r>
        <w:rPr/>
        <w:t xml:space="preserve">Size: 10 x 80 mm.</w:t>
      </w:r>
    </w:p>
    <w:p>
      <w:pPr>
        <w:pStyle w:val="Body Text"/>
      </w:pPr>
      <w:r>
        <w:rPr/>
        <w:t xml:space="preserve">Mounting: Surface‑mounted.</w:t>
      </w:r>
    </w:p>
    <w:p>
      <w:pPr>
        <w:pStyle w:val="Body Text"/>
      </w:pPr>
      <w:r>
        <w:rPr/>
        <w:t xml:space="preserve">Slip resistance rating to AS 4586 (2013): P5.</w:t>
      </w:r>
    </w:p>
    <w:p>
      <w:pPr>
        <w:pStyle w:val="Instructions"/>
      </w:pPr>
      <w:r>
        <w:rPr/>
        <w:t xml:space="preserve">Available in a clear or black anodised finish with a range of insert colours.</w:t>
      </w:r>
    </w:p>
    <w:bookmarkEnd w:id="138"/>
    <w:bookmarkStart w:name="f-28900-28" w:id="140"/>
    <w:p>
      <w:pPr>
        <w:pStyle w:val="Heading4"/>
      </w:pPr>
      <w:bookmarkStart w:name="h-28900-28" w:id="141"/>
      <w:r>
        <w:rPr/>
        <w:t xml:space="preserve">Guardian Non‑Slip Stair Nosing ‑ Bullnose Ramp Back</w:t>
      </w:r>
      <w:bookmarkEnd w:id="141"/>
    </w:p>
    <w:p>
      <w:pPr>
        <w:pStyle w:val="Body Text"/>
      </w:pPr>
      <w:r>
        <w:rPr/>
        <w:t xml:space="preserve">Description: Anodised aluminium stair nosing with bullnose downturn, ramped back edge and silicon carbide insert tape or corrugated aluminium insert.</w:t>
      </w:r>
    </w:p>
    <w:p>
      <w:pPr>
        <w:pStyle w:val="Body Text"/>
      </w:pPr>
      <w:r>
        <w:rPr/>
        <w:t xml:space="preserve">Size: 30 x 80 mm.</w:t>
      </w:r>
    </w:p>
    <w:p>
      <w:pPr>
        <w:pStyle w:val="Body Text"/>
      </w:pPr>
      <w:r>
        <w:rPr/>
        <w:t xml:space="preserve">Mounting: Surface‑mounted.</w:t>
      </w:r>
    </w:p>
    <w:p>
      <w:pPr>
        <w:pStyle w:val="Body Text"/>
      </w:pPr>
      <w:r>
        <w:rPr/>
        <w:t xml:space="preserve">Slip resistance rating to AS 4586 (2013): P5.</w:t>
      </w:r>
    </w:p>
    <w:p>
      <w:pPr>
        <w:pStyle w:val="Instructions"/>
      </w:pPr>
      <w:r>
        <w:rPr/>
        <w:t xml:space="preserve">Available in a clear anodised finish with a range of insert colours.</w:t>
      </w:r>
    </w:p>
    <w:bookmarkEnd w:id="140"/>
    <w:bookmarkStart w:name="f-28900-29" w:id="142"/>
    <w:p>
      <w:pPr>
        <w:pStyle w:val="Heading4"/>
      </w:pPr>
      <w:bookmarkStart w:name="h-28900-29" w:id="143"/>
      <w:r>
        <w:rPr/>
        <w:t xml:space="preserve">Aluminium Slimline Multi</w:t>
      </w:r>
      <w:bookmarkEnd w:id="143"/>
    </w:p>
    <w:p>
      <w:pPr>
        <w:pStyle w:val="Body Text"/>
      </w:pPr>
      <w:r>
        <w:rPr/>
        <w:t xml:space="preserve">Description: Anodised aluminium stair nosing with ramped back edge and aluminium insert.</w:t>
      </w:r>
    </w:p>
    <w:p>
      <w:pPr>
        <w:pStyle w:val="Body Text"/>
      </w:pPr>
      <w:r>
        <w:rPr/>
        <w:t xml:space="preserve">Size: 10 x 75 mm.</w:t>
      </w:r>
    </w:p>
    <w:p>
      <w:pPr>
        <w:pStyle w:val="Body Text"/>
      </w:pPr>
      <w:r>
        <w:rPr/>
        <w:t xml:space="preserve">Mounting: Surface‑mounted.</w:t>
      </w:r>
    </w:p>
    <w:p>
      <w:pPr>
        <w:pStyle w:val="Body Text"/>
      </w:pPr>
      <w:r>
        <w:rPr/>
        <w:t xml:space="preserve">Slip resistance rating to AS 4586 (2013): P5.</w:t>
      </w:r>
    </w:p>
    <w:p>
      <w:pPr>
        <w:pStyle w:val="Instructions"/>
      </w:pPr>
      <w:r>
        <w:rPr/>
        <w:t xml:space="preserve">Available in clear, black or brass anodised finish with a range of insert colours.</w:t>
      </w:r>
    </w:p>
    <w:bookmarkEnd w:id="142"/>
    <w:bookmarkStart w:name="f-28900-30" w:id="144"/>
    <w:p>
      <w:pPr>
        <w:pStyle w:val="Heading4"/>
      </w:pPr>
      <w:bookmarkStart w:name="h-28900-30" w:id="145"/>
      <w:r>
        <w:rPr/>
        <w:t xml:space="preserve">Fibreglass Stair Nosing Ramped</w:t>
      </w:r>
      <w:bookmarkEnd w:id="145"/>
    </w:p>
    <w:p>
      <w:pPr>
        <w:pStyle w:val="Body Text"/>
      </w:pPr>
      <w:r>
        <w:rPr/>
        <w:t xml:space="preserve">Description: Fibreglass reinforced polymer (FRP) 24 grit stair nosing with ramped back edge.</w:t>
      </w:r>
    </w:p>
    <w:p>
      <w:pPr>
        <w:pStyle w:val="Body Text"/>
      </w:pPr>
      <w:r>
        <w:rPr/>
        <w:t xml:space="preserve">Size: 10 x 70 mm.</w:t>
      </w:r>
    </w:p>
    <w:p>
      <w:pPr>
        <w:pStyle w:val="Body Text"/>
      </w:pPr>
      <w:r>
        <w:rPr/>
        <w:t xml:space="preserve">Mounting: Surface‑mounted.</w:t>
      </w:r>
    </w:p>
    <w:p>
      <w:pPr>
        <w:pStyle w:val="Body Text"/>
      </w:pPr>
      <w:r>
        <w:rPr/>
        <w:t xml:space="preserve">Slip resistance rating to AS 4586 (2013): P5.</w:t>
      </w:r>
    </w:p>
    <w:p>
      <w:pPr>
        <w:pStyle w:val="Instructions"/>
      </w:pPr>
      <w:r>
        <w:rPr/>
        <w:t xml:space="preserve">Available in black or yellow.</w:t>
      </w:r>
    </w:p>
    <w:bookmarkEnd w:id="144"/>
    <w:bookmarkStart w:name="f-28900-31" w:id="146"/>
    <w:p>
      <w:pPr>
        <w:pStyle w:val="Heading3"/>
      </w:pPr>
      <w:bookmarkStart w:name="h-28900-31" w:id="147"/>
      <w:r>
        <w:rPr/>
        <w:t xml:space="preserve">GUARDIAN TACTILE SYSTEMS ANTI‑SLIP TAPE</w:t>
      </w:r>
      <w:bookmarkEnd w:id="147"/>
    </w:p>
    <w:p>
      <w:pPr>
        <w:pStyle w:val="Instructions"/>
      </w:pPr>
      <w:r>
        <w:rPr/>
        <w:t xml:space="preserve">Document in the </w:t>
      </w:r>
      <w:r>
        <w:rPr>
          <w:b/>
        </w:rPr>
        <w:t xml:space="preserve">Anti‑slip tape schedule</w:t>
      </w:r>
      <w:r>
        <w:rPr/>
        <w:t xml:space="preserve">.</w:t>
      </w:r>
    </w:p>
    <w:bookmarkEnd w:id="146"/>
    <w:bookmarkStart w:name="f-28900-32" w:id="148"/>
    <w:p>
      <w:pPr>
        <w:pStyle w:val="Heading4"/>
      </w:pPr>
      <w:bookmarkStart w:name="h-28900-32" w:id="149"/>
      <w:r>
        <w:rPr/>
        <w:t xml:space="preserve">Anti‑Slip Safety Tape</w:t>
      </w:r>
      <w:bookmarkEnd w:id="149"/>
    </w:p>
    <w:p>
      <w:pPr>
        <w:pStyle w:val="Body Text"/>
      </w:pPr>
      <w:r>
        <w:rPr/>
        <w:t xml:space="preserve">Description: Silicon carbide 36 grit stair edge tape with Peel, Bond &amp; Walk adhesive for internal and external use.</w:t>
      </w:r>
    </w:p>
    <w:p>
      <w:pPr>
        <w:pStyle w:val="Body Text"/>
      </w:pPr>
      <w:r>
        <w:rPr/>
        <w:t xml:space="preserve">Slip resistance rating to AS 4586 (2013): P5.</w:t>
      </w:r>
    </w:p>
    <w:p>
      <w:pPr>
        <w:pStyle w:val="Instructions"/>
      </w:pPr>
      <w:r>
        <w:rPr/>
        <w:t xml:space="preserve">Available in a range of colours and widths.</w:t>
      </w:r>
    </w:p>
    <w:bookmarkEnd w:id="148"/>
    <w:bookmarkEnd w:id="78"/>
    <w:bookmarkStart w:name="f-28901" w:id="150"/>
    <w:bookmarkStart w:name="f-28901-1" w:id="151"/>
    <w:p>
      <w:pPr>
        <w:pStyle w:val="Heading2"/>
      </w:pPr>
      <w:bookmarkStart w:name="h-28901-1" w:id="152"/>
      <w:r>
        <w:rPr/>
        <w:t xml:space="preserve">EXECUTION</w:t>
      </w:r>
      <w:bookmarkEnd w:id="152"/>
    </w:p>
    <w:bookmarkEnd w:id="151"/>
    <w:bookmarkStart w:name="f-28901-2" w:id="153"/>
    <w:p>
      <w:pPr>
        <w:pStyle w:val="Heading3"/>
      </w:pPr>
      <w:bookmarkStart w:name="h-28901-2" w:id="154"/>
      <w:r>
        <w:rPr/>
        <w:t xml:space="preserve">GENERAL</w:t>
      </w:r>
      <w:bookmarkEnd w:id="154"/>
    </w:p>
    <w:bookmarkEnd w:id="153"/>
    <w:bookmarkStart w:name="f-28901-3" w:id="155"/>
    <w:p>
      <w:pPr>
        <w:pStyle w:val="Heading4"/>
      </w:pPr>
      <w:bookmarkStart w:name="h-28901-3" w:id="156"/>
      <w:r>
        <w:rPr/>
        <w:t xml:space="preserve">Preparation</w:t>
      </w:r>
      <w:bookmarkEnd w:id="156"/>
    </w:p>
    <w:p>
      <w:pPr>
        <w:pStyle w:val="Body Text"/>
      </w:pPr>
      <w:r>
        <w:rPr/>
        <w:t xml:space="preserve">Requirement: Conform to the GUARDIAN TACTILE SYSTEMS' recommendations. Make sure surfaces are clean and free of undulations, dust and contaminants.</w:t>
      </w:r>
    </w:p>
    <w:bookmarkEnd w:id="155"/>
    <w:bookmarkStart w:name="f-28901-4" w:id="157"/>
    <w:p>
      <w:pPr>
        <w:pStyle w:val="Heading4"/>
      </w:pPr>
      <w:bookmarkStart w:name="h-28901-4" w:id="158"/>
      <w:r>
        <w:rPr/>
        <w:t xml:space="preserve">Installation</w:t>
      </w:r>
      <w:bookmarkEnd w:id="158"/>
    </w:p>
    <w:p>
      <w:pPr>
        <w:pStyle w:val="Body Text"/>
      </w:pPr>
      <w:r>
        <w:rPr/>
        <w:t xml:space="preserve">General: Conform to GUARDIAN TACTILE SYSTEMS' recommendations.</w:t>
      </w:r>
    </w:p>
    <w:bookmarkEnd w:id="157"/>
    <w:bookmarkStart w:name="f-28901-5" w:id="159"/>
    <w:p>
      <w:pPr>
        <w:pStyle w:val="Heading4"/>
      </w:pPr>
      <w:bookmarkStart w:name="h-28901-5" w:id="160"/>
      <w:r>
        <w:rPr/>
        <w:t xml:space="preserve">Tactile indicators</w:t>
      </w:r>
      <w:bookmarkEnd w:id="160"/>
    </w:p>
    <w:p>
      <w:pPr>
        <w:pStyle w:val="Body Text"/>
      </w:pPr>
      <w:r>
        <w:rPr/>
        <w:t xml:space="preserve">Discrete tactiles: Drill fixing holes in a selected pattern using the applicable template, apply construction adhesive (if required) and pressure fit.</w:t>
      </w:r>
    </w:p>
    <w:p>
      <w:pPr>
        <w:pStyle w:val="Body Text"/>
      </w:pPr>
      <w:r>
        <w:rPr/>
        <w:t xml:space="preserve">Integrated tactiles:</w:t>
      </w:r>
    </w:p>
    <w:p>
      <w:pPr>
        <w:pStyle w:val="NormalIndent"/>
      </w:pPr>
      <w:r>
        <w:rPr/>
        <w:t xml:space="preserve">Stainless steel: Install flush with the adjoining surfaces and fix with 6 stainless steel fasteners.</w:t>
      </w:r>
    </w:p>
    <w:p>
      <w:pPr>
        <w:pStyle w:val="NormalIndent"/>
      </w:pPr>
      <w:r>
        <w:rPr/>
        <w:t xml:space="preserve">Polyurethane: </w:t>
      </w:r>
    </w:p>
    <w:p>
      <w:pPr>
        <w:pStyle w:val="NormalIndent2"/>
      </w:pPr>
      <w:r>
        <w:rPr/>
        <w:t xml:space="preserve">Adhesive fixed: Fix with Peel, Bond and Walk adhesive.</w:t>
      </w:r>
    </w:p>
    <w:p>
      <w:pPr>
        <w:pStyle w:val="NormalIndent2"/>
      </w:pPr>
      <w:r>
        <w:rPr/>
        <w:t xml:space="preserve">Mechanically fixed: Apply adhesive and fix with 4 corrosion resistant fasteners.</w:t>
      </w:r>
    </w:p>
    <w:p>
      <w:pPr>
        <w:pStyle w:val="NormalIndent2"/>
      </w:pPr>
      <w:r>
        <w:rPr/>
        <w:t xml:space="preserve">Fibre reinforced polymer (FRP): Fix with Peel, Bond and Walk adhesive and 8 corrosion resistant fasteners.</w:t>
      </w:r>
    </w:p>
    <w:bookmarkEnd w:id="159"/>
    <w:bookmarkStart w:name="f-28901-6" w:id="161"/>
    <w:p>
      <w:pPr>
        <w:pStyle w:val="Heading4"/>
      </w:pPr>
      <w:bookmarkStart w:name="h-28901-6" w:id="162"/>
      <w:r>
        <w:rPr/>
        <w:t xml:space="preserve">Stair nosing</w:t>
      </w:r>
      <w:bookmarkEnd w:id="162"/>
    </w:p>
    <w:p>
      <w:pPr>
        <w:pStyle w:val="Body Text"/>
      </w:pPr>
      <w:r>
        <w:rPr/>
        <w:t xml:space="preserve">General: Fix with adhesive and/or screws.</w:t>
      </w:r>
    </w:p>
    <w:bookmarkEnd w:id="161"/>
    <w:bookmarkStart w:name="f-28901-7" w:id="163"/>
    <w:p>
      <w:pPr>
        <w:pStyle w:val="Heading4"/>
      </w:pPr>
      <w:bookmarkStart w:name="h-28901-7" w:id="164"/>
      <w:r>
        <w:rPr/>
        <w:t xml:space="preserve">Anti‑slip tape</w:t>
      </w:r>
      <w:bookmarkEnd w:id="164"/>
    </w:p>
    <w:p>
      <w:pPr>
        <w:pStyle w:val="Body Text"/>
      </w:pPr>
      <w:r>
        <w:rPr/>
        <w:t xml:space="preserve">General: Fix with Peel, Bond and Walk adhesive.</w:t>
      </w:r>
    </w:p>
    <w:bookmarkEnd w:id="163"/>
    <w:bookmarkStart w:name="f-28901-8" w:id="165"/>
    <w:p>
      <w:pPr>
        <w:pStyle w:val="OptionalHeading3"/>
      </w:pPr>
      <w:bookmarkStart w:name="h-28901-8" w:id="166"/>
      <w:r>
        <w:rPr/>
        <w:t xml:space="preserve">TESTING</w:t>
      </w:r>
      <w:bookmarkEnd w:id="166"/>
    </w:p>
    <w:bookmarkStart w:name="f-7635" w:id="167"/>
    <w:bookmarkStart w:name="f-7635-1" w:id="168"/>
    <w:p>
      <w:pPr>
        <w:pStyle w:val="Instructions"/>
      </w:pPr>
      <w:r>
        <w:rPr>
          <w:i/>
        </w:rPr>
        <w:t xml:space="preserve">0171 General requirements</w:t>
      </w:r>
      <w:r>
        <w:rPr/>
        <w:t xml:space="preserve"> defines different tests in </w:t>
      </w:r>
      <w:r>
        <w:rPr>
          <w:b/>
        </w:rPr>
        <w:t xml:space="preserve">INTERPRETATION</w:t>
      </w:r>
      <w:r>
        <w:rPr/>
        <w:t xml:space="preserve">, </w:t>
      </w:r>
      <w:r>
        <w:rPr>
          <w:b/>
        </w:rPr>
        <w:t xml:space="preserve">Definitions</w:t>
      </w:r>
      <w:r>
        <w:rPr/>
        <w:t xml:space="preserve"> and calls for an inspection and testing plan in </w:t>
      </w:r>
      <w:r>
        <w:rPr>
          <w:b/>
        </w:rPr>
        <w:t xml:space="preserve">TESTING ‑ GENERALLY</w:t>
      </w:r>
      <w:r>
        <w:rPr/>
        <w:t xml:space="preserve">, </w:t>
      </w:r>
      <w:r>
        <w:rPr>
          <w:b/>
        </w:rPr>
        <w:t xml:space="preserve">Inspection and testing plan</w:t>
      </w:r>
      <w:r>
        <w:rPr/>
        <w:t xml:space="preserve">.</w:t>
      </w:r>
    </w:p>
    <w:bookmarkEnd w:id="168"/>
    <w:bookmarkEnd w:id="167"/>
    <w:bookmarkEnd w:id="165"/>
    <w:bookmarkStart w:name="f-28901-9" w:id="169"/>
    <w:p>
      <w:pPr>
        <w:pStyle w:val="OptionalHeading4"/>
      </w:pPr>
      <w:bookmarkStart w:name="h-28901-9" w:id="170"/>
      <w:r>
        <w:rPr/>
        <w:t xml:space="preserve">Completion tests</w:t>
      </w:r>
      <w:bookmarkEnd w:id="170"/>
    </w:p>
    <w:p>
      <w:pPr>
        <w:pStyle w:val="Instructions"/>
      </w:pPr>
      <w:r>
        <w:rPr/>
        <w:t xml:space="preserve">Completion tests may not be required for proprietary products that have the required type test information. If completion tests are required include this </w:t>
      </w:r>
      <w:r>
        <w:rPr>
          <w:i/>
        </w:rPr>
        <w:t xml:space="preserve">Optional</w:t>
      </w:r>
      <w:r>
        <w:rPr/>
        <w:t xml:space="preserve"> style text by changing to </w:t>
      </w:r>
      <w:r>
        <w:rPr>
          <w:i/>
        </w:rPr>
        <w:t xml:space="preserve">Normal</w:t>
      </w:r>
      <w:r>
        <w:rPr/>
        <w:t xml:space="preserve"> style text.</w:t>
      </w:r>
    </w:p>
    <w:p>
      <w:pPr>
        <w:pStyle w:val="OptionalNormal"/>
      </w:pPr>
      <w:r>
        <w:rPr/>
        <w:t xml:space="preserve">Slip resistance of completed TGSIs and stair nosing installation: To AS 4663 (2013).</w:t>
      </w:r>
    </w:p>
    <w:p>
      <w:pPr>
        <w:pStyle w:val="Instructions"/>
      </w:pPr>
      <w:r>
        <w:rPr/>
        <w:t xml:space="preserve">Delete if not required. See NATSPEC TECHnote DES 001. The wet‑barefoot inclining platform test and the oil‑wet inclining platform test cannot be performed in situ.</w:t>
      </w:r>
    </w:p>
    <w:p>
      <w:pPr>
        <w:pStyle w:val="OptionalNormal"/>
      </w:pPr>
      <w:r>
        <w:rPr/>
        <w:t xml:space="preserve">Luminance contrast testing of completed TGSIs and stair nosing installation: Submit evidence of conformity to AS/NZS 1428.4.1 (2009) Appendix E and AS 1428.1 (2021) Appendix B.</w:t>
      </w:r>
    </w:p>
    <w:p>
      <w:pPr>
        <w:pStyle w:val="Instructions"/>
      </w:pPr>
      <w:r>
        <w:rPr/>
        <w:t xml:space="preserve">The NCC cites AS 1428.4 (1992) and AS/NZS 1428.4.1 (2009). The current edition is AS/NZS 1428.4.1 (2009).</w:t>
      </w:r>
    </w:p>
    <w:p>
      <w:pPr>
        <w:pStyle w:val="Instructions"/>
      </w:pPr>
      <w:r>
        <w:rPr/>
        <w:t xml:space="preserve">The NCC cites AS 1428.1 (2001) and AS 1428.1 (2021). The current edition is AS 1428.1 (2021).</w:t>
      </w:r>
    </w:p>
    <w:p>
      <w:pPr>
        <w:pStyle w:val="Instructions"/>
      </w:pPr>
      <w:r>
        <w:rPr/>
        <w:t xml:space="preserve">GUARDIAN TACTILE SYSTEMS can test for luminance contrast to determine the luminance reflectance values (LRV) for the TGSI and stair nosing against the surrounding substrate.</w:t>
      </w:r>
    </w:p>
    <w:bookmarkEnd w:id="169"/>
    <w:bookmarkStart w:name="f-28901-10" w:id="171"/>
    <w:p>
      <w:pPr>
        <w:pStyle w:val="Heading3"/>
      </w:pPr>
      <w:bookmarkStart w:name="h-28901-10" w:id="172"/>
      <w:r>
        <w:rPr/>
        <w:t xml:space="preserve">COMPLETION</w:t>
      </w:r>
      <w:bookmarkEnd w:id="172"/>
    </w:p>
    <w:bookmarkEnd w:id="171"/>
    <w:bookmarkStart w:name="f-28901-11" w:id="173"/>
    <w:p>
      <w:pPr>
        <w:pStyle w:val="Heading4"/>
      </w:pPr>
      <w:bookmarkStart w:name="h-28901-11" w:id="174"/>
      <w:r>
        <w:rPr/>
        <w:t xml:space="preserve">Cleaning</w:t>
      </w:r>
      <w:bookmarkEnd w:id="174"/>
    </w:p>
    <w:p>
      <w:pPr>
        <w:pStyle w:val="Body Text"/>
      </w:pPr>
      <w:r>
        <w:rPr/>
        <w:t xml:space="preserve">Requirement: Clean progressively and leave adjoining surfaces, pavements and ancillaries clean on completion.</w:t>
      </w:r>
    </w:p>
    <w:bookmarkEnd w:id="173"/>
    <w:bookmarkStart w:name="f-28901-12" w:id="175"/>
    <w:p>
      <w:pPr>
        <w:pStyle w:val="Heading4"/>
      </w:pPr>
      <w:bookmarkStart w:name="h-28901-12" w:id="176"/>
      <w:r>
        <w:rPr/>
        <w:t xml:space="preserve">Warranties</w:t>
      </w:r>
      <w:bookmarkEnd w:id="176"/>
    </w:p>
    <w:p>
      <w:pPr>
        <w:pStyle w:val="Instructions"/>
      </w:pPr>
      <w:r>
        <w:rPr/>
        <w:t xml:space="preserve">Refer to </w:t>
      </w:r>
      <w:r>
        <w:rPr>
          <w:i/>
        </w:rPr>
        <w:t xml:space="preserve">0171 General requirements</w:t>
      </w:r>
      <w:r>
        <w:rPr/>
        <w:t xml:space="preserve"> for appropriate warranty type and the terms covered in the warranty.</w:t>
      </w:r>
    </w:p>
    <w:p>
      <w:pPr>
        <w:pStyle w:val="Body Text"/>
      </w:pPr>
      <w:r>
        <w:rPr/>
        <w:t xml:space="preserve">Type: Manufacturer warranty.</w:t>
      </w:r>
    </w:p>
    <w:p>
      <w:pPr>
        <w:pStyle w:val="Body Text"/>
      </w:pPr>
      <w:r>
        <w:rPr/>
        <w:t xml:space="preserve">Period:</w:t>
      </w:r>
    </w:p>
    <w:p>
      <w:pPr>
        <w:pStyle w:val="NormalIndent"/>
      </w:pPr>
      <w:r>
        <w:rPr/>
        <w:t xml:space="preserve">Stainless steel and brass TGSIs: 10 years.</w:t>
      </w:r>
    </w:p>
    <w:p>
      <w:pPr>
        <w:pStyle w:val="NormalIndent"/>
      </w:pPr>
      <w:r>
        <w:rPr/>
        <w:t xml:space="preserve">Polyurethane TGSIs: 10 years.</w:t>
      </w:r>
    </w:p>
    <w:p>
      <w:pPr>
        <w:pStyle w:val="NormalIndent"/>
      </w:pPr>
      <w:r>
        <w:rPr/>
        <w:t xml:space="preserve">Fibre reinforced polymer FRP TGSIs: 2 years.</w:t>
      </w:r>
    </w:p>
    <w:p>
      <w:pPr>
        <w:pStyle w:val="NormalIndent"/>
      </w:pPr>
      <w:r>
        <w:rPr/>
        <w:t xml:space="preserve">Aluminium stair nosing: 5 years.</w:t>
      </w:r>
    </w:p>
    <w:p>
      <w:pPr>
        <w:pStyle w:val="NormalIndent"/>
      </w:pPr>
      <w:r>
        <w:rPr/>
        <w:t xml:space="preserve">Fibreglass stair nosing: 2 years.</w:t>
      </w:r>
    </w:p>
    <w:p>
      <w:pPr>
        <w:pStyle w:val="NormalIndent"/>
      </w:pPr>
      <w:r>
        <w:rPr/>
        <w:t xml:space="preserve">Anti‑slip tape: 2 years.</w:t>
      </w:r>
    </w:p>
    <w:p>
      <w:pPr>
        <w:pStyle w:val="Instructions"/>
      </w:pPr>
      <w:r>
        <w:rPr/>
        <w:t xml:space="preserve">The GUARDIAN TACTILE SYSTEMS range of tactile indicators and stair nosing are guaranteed against defects in materials and workmanship.</w:t>
      </w:r>
    </w:p>
    <w:bookmarkEnd w:id="175"/>
    <w:bookmarkEnd w:id="150"/>
    <w:bookmarkStart w:name="f-28902" w:id="177"/>
    <w:bookmarkStart w:name="f-28902-1" w:id="178"/>
    <w:p>
      <w:pPr>
        <w:pStyle w:val="Heading2"/>
      </w:pPr>
      <w:bookmarkStart w:name="h-28902-1" w:id="179"/>
      <w:r>
        <w:rPr/>
        <w:t xml:space="preserve">SELECTIONS</w:t>
      </w:r>
      <w:bookmarkEnd w:id="179"/>
    </w:p>
    <w:bookmarkEnd w:id="178"/>
    <w:bookmarkStart w:name="f-28902-2" w:id="180"/>
    <w:bookmarkStart w:name="f-7991" w:id="181"/>
    <w:bookmarkStart w:name="f-7991-1" w:id="182"/>
    <w:p>
      <w:pPr>
        <w:pStyle w:val="Instructions"/>
      </w:pPr>
      <w:r>
        <w:rPr>
          <w:b/>
        </w:rPr>
        <w:t xml:space="preserve">Schedules</w:t>
      </w:r>
      <w:r>
        <w:rPr/>
        <w:t xml:space="preserve"> are a tool to specify properties required for products or systems. If the principal permits documentation of the product or system by proprietary name, some of the properties may be unnecessary and can be deleted. Document the product or system's location or application here and/or on the drawings with a matching project code. Refer to NATSPEC TECHnote GEN 024 for guidance on using and editing schedules.</w:t>
      </w:r>
    </w:p>
    <w:bookmarkEnd w:id="182"/>
    <w:bookmarkEnd w:id="181"/>
    <w:bookmarkEnd w:id="180"/>
    <w:bookmarkStart w:name="f-28902-3" w:id="183"/>
    <w:p>
      <w:pPr>
        <w:pStyle w:val="Heading3"/>
      </w:pPr>
      <w:bookmarkStart w:name="h-28902-3" w:id="184"/>
      <w:r>
        <w:rPr/>
        <w:t xml:space="preserve">GUARDIAN TACTILE SYSTEMS TGSI</w:t>
      </w:r>
      <w:bookmarkEnd w:id="184"/>
    </w:p>
    <w:bookmarkEnd w:id="183"/>
    <w:bookmarkStart w:name="f-28902-4" w:id="185"/>
    <w:p>
      <w:pPr>
        <w:pStyle w:val="Heading4"/>
      </w:pPr>
      <w:bookmarkStart w:name="h-28902-4" w:id="186"/>
      <w:r>
        <w:rPr/>
        <w:t xml:space="preserve">Discrete TGSI schedule</w:t>
      </w:r>
      <w:bookmarkEnd w:id="186"/>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DT1</w:t>
            </w:r>
          </w:p>
        </w:tc>
        <w:tc>
          <w:tcPr>
            <w:tcW w:w="20.0%" w:type="pct"/>
          </w:tcPr>
          <w:p>
            <w:pPr>
              <w:pStyle w:val="Tabletitle"/>
            </w:pPr>
            <w:r>
              <w:rPr/>
              <w:t xml:space="preserve">DT2</w:t>
            </w:r>
          </w:p>
        </w:tc>
        <w:tc>
          <w:tcPr>
            <w:tcW w:w="20.0%" w:type="pct"/>
          </w:tcPr>
          <w:p>
            <w:pPr>
              <w:pStyle w:val="Tabletitle"/>
            </w:pPr>
            <w:r>
              <w:rPr/>
              <w:t xml:space="preserve">DT3</w:t>
            </w:r>
          </w:p>
        </w:tc>
      </w:tr>
      <w:tr>
        <w:trPr/>
        <w:tc>
          <w:tcPr>
            <w:tcW w:w="40.0%" w:type="pct"/>
          </w:tcPr>
          <w:p>
            <w:pPr>
              <w:pStyle w:val="Tabletext"/>
            </w:pPr>
            <w:r>
              <w:rPr/>
              <w:t xml:space="preserve">Product code</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8767" w:id="187"/>
    <w:bookmarkStart w:name="f-8767-1" w:id="188"/>
    <w:p>
      <w:pPr>
        <w:pStyle w:val="Instructions"/>
      </w:pPr>
      <w:r>
        <w:rPr/>
        <w:t xml:space="preserve">The codes in the header row of the schedule designate each application or location of the item scheduled. Edit the codes to match those in other contract documents.</w:t>
      </w:r>
    </w:p>
    <w:bookmarkEnd w:id="188"/>
    <w:bookmarkEnd w:id="187"/>
    <w:p>
      <w:pPr>
        <w:pStyle w:val="Instructions"/>
      </w:pPr>
      <w:r>
        <w:rPr/>
        <w:t xml:space="preserve">Nominate the required quantity, extent and location on the drawings.</w:t>
      </w:r>
    </w:p>
    <w:p>
      <w:pPr>
        <w:pStyle w:val="Instructions"/>
      </w:pPr>
      <w:r>
        <w:rPr/>
        <w:t xml:space="preserve">Product code: Nominate the required product code from the selections below.</w:t>
      </w:r>
    </w:p>
    <w:p>
      <w:pPr>
        <w:pStyle w:val="Instructions"/>
      </w:pPr>
      <w:r>
        <w:rPr/>
        <w:t xml:space="preserve">Refer to the products documented in PRODUCTS, </w:t>
      </w:r>
      <w:r>
        <w:rPr>
          <w:b/>
        </w:rPr>
        <w:t xml:space="preserve">GUARDIAN TACTILE SYSTEMS DISCRETE TGSI</w:t>
      </w:r>
      <w:r>
        <w:rPr/>
        <w:t xml:space="preserve">.</w:t>
      </w:r>
    </w:p>
    <w:p>
      <w:pPr>
        <w:pStyle w:val="Instructions"/>
      </w:pPr>
      <w:r>
        <w:rPr>
          <w:b/>
        </w:rPr>
        <w:t xml:space="preserve">Stainless steel warning:</w:t>
      </w:r>
    </w:p>
    <w:p>
      <w:pPr>
        <w:pStyle w:val="Instructionsindent"/>
      </w:pPr>
      <w:r>
        <w:rPr/>
        <w:t xml:space="preserve">Stainless steel with 15 mm stem: GTS615E‑316.</w:t>
      </w:r>
    </w:p>
    <w:p>
      <w:pPr>
        <w:pStyle w:val="Instructionsindent"/>
      </w:pPr>
      <w:r>
        <w:rPr/>
        <w:t xml:space="preserve">Stainless steel with 18 mm pressure fit: GTS818EP‑316.</w:t>
      </w:r>
    </w:p>
    <w:p>
      <w:pPr>
        <w:pStyle w:val="Instructionsindent"/>
      </w:pPr>
      <w:r>
        <w:rPr/>
        <w:t xml:space="preserve">Black PVD with 15 mm stem: GTS615E‑PVDBK.</w:t>
      </w:r>
    </w:p>
    <w:p>
      <w:pPr>
        <w:pStyle w:val="Instructionsindent"/>
      </w:pPr>
      <w:r>
        <w:rPr/>
        <w:t xml:space="preserve">Black PVD with 18 mm pressure fit: GTS818EP‑PVDBK.</w:t>
      </w:r>
    </w:p>
    <w:p>
      <w:pPr>
        <w:pStyle w:val="Instructionsindent"/>
      </w:pPr>
      <w:r>
        <w:rPr/>
        <w:t xml:space="preserve">Gold PVD with 15 mm stem: GTS615E‑PVDGD.</w:t>
      </w:r>
    </w:p>
    <w:p>
      <w:pPr>
        <w:pStyle w:val="Instructionsindent"/>
      </w:pPr>
      <w:r>
        <w:rPr/>
        <w:t xml:space="preserve">Gold PVD with 18 mm pressure fit: GTS818EP‑PVDGD.</w:t>
      </w:r>
    </w:p>
    <w:p>
      <w:pPr>
        <w:pStyle w:val="Instructions"/>
      </w:pPr>
      <w:r>
        <w:rPr>
          <w:b/>
        </w:rPr>
        <w:t xml:space="preserve">Brass warning:</w:t>
      </w:r>
    </w:p>
    <w:p>
      <w:pPr>
        <w:pStyle w:val="Instructionsindent"/>
      </w:pPr>
      <w:r>
        <w:rPr/>
        <w:t xml:space="preserve">Brass with 15 mm stem: GTS615E‑BRS.</w:t>
      </w:r>
    </w:p>
    <w:p>
      <w:pPr>
        <w:pStyle w:val="Instructionsindent"/>
      </w:pPr>
      <w:r>
        <w:rPr/>
        <w:t xml:space="preserve">Brass with 18 mm pressure fit: GTS818EPBRS.</w:t>
      </w:r>
    </w:p>
    <w:p>
      <w:pPr>
        <w:pStyle w:val="Instructions"/>
      </w:pPr>
      <w:r>
        <w:rPr>
          <w:b/>
        </w:rPr>
        <w:t xml:space="preserve">Stainless steel warning ‑ plug and screw:</w:t>
      </w:r>
    </w:p>
    <w:p>
      <w:pPr>
        <w:pStyle w:val="Instructionsindent"/>
      </w:pPr>
      <w:r>
        <w:rPr/>
        <w:t xml:space="preserve">Stainless steel with plug and screw: GTS425PS‑316.</w:t>
      </w:r>
    </w:p>
    <w:p>
      <w:pPr>
        <w:pStyle w:val="Instructions"/>
      </w:pPr>
      <w:r>
        <w:rPr>
          <w:b/>
        </w:rPr>
        <w:t xml:space="preserve">Stainless steel warning ‑ carborundum insert:</w:t>
      </w:r>
    </w:p>
    <w:p>
      <w:pPr>
        <w:pStyle w:val="Instructionsindent"/>
      </w:pPr>
      <w:r>
        <w:rPr/>
        <w:t xml:space="preserve">Black carborundum insert with 15 mm stem: GTS615‑316BK.</w:t>
      </w:r>
    </w:p>
    <w:p>
      <w:pPr>
        <w:pStyle w:val="Instructionsindent"/>
      </w:pPr>
      <w:r>
        <w:rPr/>
        <w:t xml:space="preserve">Black carborundum insert with 18 mm pressure fit: GTS818P‑316BK.</w:t>
      </w:r>
    </w:p>
    <w:p>
      <w:pPr>
        <w:pStyle w:val="Instructionsindent"/>
      </w:pPr>
      <w:r>
        <w:rPr/>
        <w:t xml:space="preserve">Yellow carborundum insert with 15 mm stem: GTS615‑316YL.</w:t>
      </w:r>
    </w:p>
    <w:p>
      <w:pPr>
        <w:pStyle w:val="Instructions"/>
      </w:pPr>
      <w:r>
        <w:rPr>
          <w:b/>
        </w:rPr>
        <w:t xml:space="preserve">Stainless steel warning ‑ polyurethane insert:</w:t>
      </w:r>
    </w:p>
    <w:p>
      <w:pPr>
        <w:pStyle w:val="Instructionsindent"/>
      </w:pPr>
      <w:r>
        <w:rPr/>
        <w:t xml:space="preserve">Black polyurethane insert with 15 mm stem: GTS615‑316TPUBK.</w:t>
      </w:r>
    </w:p>
    <w:p>
      <w:pPr>
        <w:pStyle w:val="Instructionsindent"/>
      </w:pPr>
      <w:r>
        <w:rPr/>
        <w:t xml:space="preserve">Black polyurethane insert with 18 mm pressure fit: GTS818P‑316PUBK.</w:t>
      </w:r>
    </w:p>
    <w:p>
      <w:pPr>
        <w:pStyle w:val="Instructions"/>
      </w:pPr>
      <w:r>
        <w:rPr>
          <w:b/>
        </w:rPr>
        <w:t xml:space="preserve">Stainless steel directional:</w:t>
      </w:r>
    </w:p>
    <w:p>
      <w:pPr>
        <w:pStyle w:val="Instructionsindent"/>
      </w:pPr>
      <w:r>
        <w:rPr/>
        <w:t xml:space="preserve">Stainless steel with three 15 mm stems: GTSDIR‑316.</w:t>
      </w:r>
    </w:p>
    <w:bookmarkEnd w:id="185"/>
    <w:bookmarkStart w:name="f-28902-5" w:id="189"/>
    <w:p>
      <w:pPr>
        <w:pStyle w:val="Heading4"/>
      </w:pPr>
      <w:bookmarkStart w:name="h-28902-5" w:id="190"/>
      <w:r>
        <w:rPr/>
        <w:t xml:space="preserve">Integrated TGSI schedule</w:t>
      </w:r>
      <w:bookmarkEnd w:id="190"/>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IT1</w:t>
            </w:r>
          </w:p>
        </w:tc>
        <w:tc>
          <w:tcPr>
            <w:tcW w:w="20.0%" w:type="pct"/>
          </w:tcPr>
          <w:p>
            <w:pPr>
              <w:pStyle w:val="Tabletitle"/>
            </w:pPr>
            <w:r>
              <w:rPr/>
              <w:t xml:space="preserve">IT2</w:t>
            </w:r>
          </w:p>
        </w:tc>
        <w:tc>
          <w:tcPr>
            <w:tcW w:w="20.0%" w:type="pct"/>
          </w:tcPr>
          <w:p>
            <w:pPr>
              <w:pStyle w:val="Tabletitle"/>
            </w:pPr>
            <w:r>
              <w:rPr/>
              <w:t xml:space="preserve">IT3</w:t>
            </w:r>
          </w:p>
        </w:tc>
      </w:tr>
      <w:tr>
        <w:trPr/>
        <w:tc>
          <w:tcPr>
            <w:tcW w:w="40.0%" w:type="pct"/>
          </w:tcPr>
          <w:p>
            <w:pPr>
              <w:pStyle w:val="Tabletext"/>
            </w:pPr>
            <w:r>
              <w:rPr/>
              <w:t xml:space="preserve">Product code</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2_8767" w:id="191"/>
    <w:bookmarkStart w:name="f-2_8767-1" w:id="192"/>
    <w:p>
      <w:pPr>
        <w:pStyle w:val="Instructions"/>
      </w:pPr>
      <w:r>
        <w:rPr/>
        <w:t xml:space="preserve">The codes in the header row of the schedule designate each application or location of the item scheduled. Edit the codes to match those in other contract documents.</w:t>
      </w:r>
    </w:p>
    <w:bookmarkEnd w:id="192"/>
    <w:bookmarkEnd w:id="191"/>
    <w:p>
      <w:pPr>
        <w:pStyle w:val="Instructions"/>
      </w:pPr>
      <w:r>
        <w:rPr/>
        <w:t xml:space="preserve">Nominate the required quantity, extent and location on the drawings.</w:t>
      </w:r>
    </w:p>
    <w:p>
      <w:pPr>
        <w:pStyle w:val="Instructions"/>
      </w:pPr>
      <w:r>
        <w:rPr/>
        <w:t xml:space="preserve">Product code: Nominate the required product code from the selections below.</w:t>
      </w:r>
    </w:p>
    <w:p>
      <w:pPr>
        <w:pStyle w:val="Instructions"/>
      </w:pPr>
      <w:r>
        <w:rPr/>
        <w:t xml:space="preserve">Refer to the products documented in PRODUCTS, </w:t>
      </w:r>
      <w:r>
        <w:rPr>
          <w:b/>
        </w:rPr>
        <w:t xml:space="preserve">GUARDIAN TACTILE SYSTEMS INTEGRATED TGSI</w:t>
      </w:r>
      <w:r>
        <w:rPr/>
        <w:t xml:space="preserve">.</w:t>
      </w:r>
    </w:p>
    <w:p>
      <w:pPr>
        <w:pStyle w:val="Instructions"/>
      </w:pPr>
      <w:r>
        <w:rPr>
          <w:b/>
        </w:rPr>
        <w:t xml:space="preserve">Stainless steel warning:</w:t>
      </w:r>
    </w:p>
    <w:p>
      <w:pPr>
        <w:pStyle w:val="Instructionsindent"/>
      </w:pPr>
      <w:r>
        <w:rPr/>
        <w:t xml:space="preserve">Stainless steel: GTS600300‑316.</w:t>
      </w:r>
    </w:p>
    <w:p>
      <w:pPr>
        <w:pStyle w:val="Instructions"/>
      </w:pPr>
      <w:r>
        <w:rPr>
          <w:b/>
        </w:rPr>
        <w:t xml:space="preserve">Stainless steel warning ‑ polyurethane insert:</w:t>
      </w:r>
    </w:p>
    <w:p>
      <w:pPr>
        <w:pStyle w:val="Instructionsindent"/>
      </w:pPr>
      <w:r>
        <w:rPr/>
        <w:t xml:space="preserve">Stainless steel with black polyurethane insert: GTS600300‑316TPUBK.</w:t>
      </w:r>
    </w:p>
    <w:p>
      <w:pPr>
        <w:pStyle w:val="Instructions"/>
      </w:pPr>
      <w:r>
        <w:rPr>
          <w:b/>
        </w:rPr>
        <w:t xml:space="preserve">Polyurethane warning ‑ adhesive fixed (300 x 300 mm):</w:t>
      </w:r>
    </w:p>
    <w:p>
      <w:pPr>
        <w:pStyle w:val="Instructionsindent"/>
      </w:pPr>
      <w:r>
        <w:rPr/>
        <w:t xml:space="preserve">Black: GTS3W‑BK.</w:t>
      </w:r>
    </w:p>
    <w:p>
      <w:pPr>
        <w:pStyle w:val="Instructionsindent"/>
      </w:pPr>
      <w:r>
        <w:rPr/>
        <w:t xml:space="preserve">Warning yellow: GTS3W‑YL.</w:t>
      </w:r>
    </w:p>
    <w:p>
      <w:pPr>
        <w:pStyle w:val="Instructionsindent"/>
      </w:pPr>
      <w:r>
        <w:rPr/>
        <w:t xml:space="preserve">Terracotta: GTS3W‑TR.</w:t>
      </w:r>
    </w:p>
    <w:p>
      <w:pPr>
        <w:pStyle w:val="Instructionsindent"/>
      </w:pPr>
      <w:r>
        <w:rPr/>
        <w:t xml:space="preserve">Medium grey: GTS3W‑MG.</w:t>
      </w:r>
    </w:p>
    <w:p>
      <w:pPr>
        <w:pStyle w:val="Instructions"/>
      </w:pPr>
      <w:r>
        <w:rPr>
          <w:b/>
        </w:rPr>
        <w:t xml:space="preserve">Polyurethane warning ‑ adhesive fixed (400 x 400 mm):</w:t>
      </w:r>
    </w:p>
    <w:p>
      <w:pPr>
        <w:pStyle w:val="Instructionsindent"/>
      </w:pPr>
      <w:r>
        <w:rPr/>
        <w:t xml:space="preserve">Black: GTS4W‑BK.</w:t>
      </w:r>
    </w:p>
    <w:p>
      <w:pPr>
        <w:pStyle w:val="Instructionsindent"/>
      </w:pPr>
      <w:r>
        <w:rPr/>
        <w:t xml:space="preserve">Warning yellow: GTS4W‑YL.</w:t>
      </w:r>
    </w:p>
    <w:p>
      <w:pPr>
        <w:pStyle w:val="Instructionsindent"/>
      </w:pPr>
      <w:r>
        <w:rPr/>
        <w:t xml:space="preserve">Terracotta: GTS4W‑TR.</w:t>
      </w:r>
    </w:p>
    <w:p>
      <w:pPr>
        <w:pStyle w:val="Instructions"/>
      </w:pPr>
      <w:r>
        <w:rPr>
          <w:b/>
        </w:rPr>
        <w:t xml:space="preserve">Polyurethane warning ‑ mechanically fixed (300 x 300 mm):</w:t>
      </w:r>
    </w:p>
    <w:p>
      <w:pPr>
        <w:pStyle w:val="Instructionsindent"/>
      </w:pPr>
      <w:r>
        <w:rPr/>
        <w:t xml:space="preserve">Black: GTS3WSF‑BK.</w:t>
      </w:r>
    </w:p>
    <w:p>
      <w:pPr>
        <w:pStyle w:val="Instructionsindent"/>
      </w:pPr>
      <w:r>
        <w:rPr/>
        <w:t xml:space="preserve">Warning yellow: GTS3WSF‑YL.</w:t>
      </w:r>
    </w:p>
    <w:p>
      <w:pPr>
        <w:pStyle w:val="Instructionsindent"/>
      </w:pPr>
      <w:r>
        <w:rPr/>
        <w:t xml:space="preserve">Terracotta: GTS3WSF‑TR.</w:t>
      </w:r>
    </w:p>
    <w:p>
      <w:pPr>
        <w:pStyle w:val="Instructionsindent"/>
      </w:pPr>
      <w:r>
        <w:rPr/>
        <w:t xml:space="preserve">Medium grey: GTS3WSF‑MG.</w:t>
      </w:r>
    </w:p>
    <w:p>
      <w:pPr>
        <w:pStyle w:val="Instructions"/>
      </w:pPr>
      <w:r>
        <w:rPr>
          <w:b/>
        </w:rPr>
        <w:t xml:space="preserve">Polyurethane warning ‑ mechanically fixed (400 x 400 mm):</w:t>
      </w:r>
    </w:p>
    <w:p>
      <w:pPr>
        <w:pStyle w:val="Instructionsindent"/>
      </w:pPr>
      <w:r>
        <w:rPr/>
        <w:t xml:space="preserve">Black: GTS4WSF‑BK.</w:t>
      </w:r>
    </w:p>
    <w:p>
      <w:pPr>
        <w:pStyle w:val="Instructionsindent"/>
      </w:pPr>
      <w:r>
        <w:rPr/>
        <w:t xml:space="preserve">Warning yellow: GTS4WSF‑YL.</w:t>
      </w:r>
    </w:p>
    <w:p>
      <w:pPr>
        <w:pStyle w:val="Instructionsindent"/>
      </w:pPr>
      <w:r>
        <w:rPr/>
        <w:t xml:space="preserve">Terracotta: GTS4WSF‑TR.</w:t>
      </w:r>
    </w:p>
    <w:p>
      <w:pPr>
        <w:pStyle w:val="Instructions"/>
      </w:pPr>
      <w:r>
        <w:rPr>
          <w:b/>
        </w:rPr>
        <w:t xml:space="preserve">FRP warning:</w:t>
      </w:r>
    </w:p>
    <w:p>
      <w:pPr>
        <w:pStyle w:val="Instructionsindent"/>
      </w:pPr>
      <w:r>
        <w:rPr/>
        <w:t xml:space="preserve">Black: GTS600300‑FRB.</w:t>
      </w:r>
    </w:p>
    <w:p>
      <w:pPr>
        <w:pStyle w:val="Instructionsindent"/>
      </w:pPr>
      <w:r>
        <w:rPr/>
        <w:t xml:space="preserve">Warning yellow: GTS600300‑FRY.</w:t>
      </w:r>
    </w:p>
    <w:p>
      <w:pPr>
        <w:pStyle w:val="Instructionsindent"/>
      </w:pPr>
      <w:r>
        <w:rPr/>
        <w:t xml:space="preserve">White: GTS600300‑FRW.</w:t>
      </w:r>
    </w:p>
    <w:p>
      <w:pPr>
        <w:pStyle w:val="Instructionsindent"/>
      </w:pPr>
      <w:r>
        <w:rPr/>
        <w:t xml:space="preserve">Terracotta: GTS600300‑FRT.</w:t>
      </w:r>
    </w:p>
    <w:p>
      <w:pPr>
        <w:pStyle w:val="Instructions"/>
      </w:pPr>
      <w:r>
        <w:rPr>
          <w:b/>
        </w:rPr>
        <w:t xml:space="preserve">FRP directional:</w:t>
      </w:r>
    </w:p>
    <w:p>
      <w:pPr>
        <w:pStyle w:val="Instructionsindent"/>
      </w:pPr>
      <w:r>
        <w:rPr/>
        <w:t xml:space="preserve">Black: GTS600300‑FRBD.</w:t>
      </w:r>
    </w:p>
    <w:p>
      <w:pPr>
        <w:pStyle w:val="Instructionsindent"/>
      </w:pPr>
      <w:r>
        <w:rPr/>
        <w:t xml:space="preserve">Warning yellow: GTS600300‑FRYD.</w:t>
      </w:r>
    </w:p>
    <w:p>
      <w:pPr>
        <w:pStyle w:val="Instructionsindent"/>
      </w:pPr>
      <w:r>
        <w:rPr/>
        <w:t xml:space="preserve">White: GTS600300‑FRWD.</w:t>
      </w:r>
    </w:p>
    <w:bookmarkEnd w:id="189"/>
    <w:bookmarkStart w:name="f-28902-6" w:id="193"/>
    <w:p>
      <w:pPr>
        <w:pStyle w:val="Heading3"/>
      </w:pPr>
      <w:bookmarkStart w:name="h-28902-6" w:id="194"/>
      <w:r>
        <w:rPr/>
        <w:t xml:space="preserve">GUARDIAN TACTILE SYSTEMS STAIR NOSING</w:t>
      </w:r>
      <w:bookmarkEnd w:id="194"/>
    </w:p>
    <w:bookmarkEnd w:id="193"/>
    <w:bookmarkStart w:name="f-28902-7" w:id="195"/>
    <w:p>
      <w:pPr>
        <w:pStyle w:val="Heading4"/>
      </w:pPr>
      <w:bookmarkStart w:name="h-28902-7" w:id="196"/>
      <w:r>
        <w:rPr/>
        <w:t xml:space="preserve">Stair nosing schedule</w:t>
      </w:r>
      <w:bookmarkEnd w:id="196"/>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SN1</w:t>
            </w:r>
          </w:p>
        </w:tc>
        <w:tc>
          <w:tcPr>
            <w:tcW w:w="20.0%" w:type="pct"/>
          </w:tcPr>
          <w:p>
            <w:pPr>
              <w:pStyle w:val="Tabletitle"/>
            </w:pPr>
            <w:r>
              <w:rPr/>
              <w:t xml:space="preserve">SN2</w:t>
            </w:r>
          </w:p>
        </w:tc>
        <w:tc>
          <w:tcPr>
            <w:tcW w:w="20.0%" w:type="pct"/>
          </w:tcPr>
          <w:p>
            <w:pPr>
              <w:pStyle w:val="Tabletitle"/>
            </w:pPr>
            <w:r>
              <w:rPr/>
              <w:t xml:space="preserve">SN3</w:t>
            </w:r>
          </w:p>
        </w:tc>
      </w:tr>
      <w:tr>
        <w:trPr/>
        <w:tc>
          <w:tcPr>
            <w:tcW w:w="40.0%" w:type="pct"/>
          </w:tcPr>
          <w:p>
            <w:pPr>
              <w:pStyle w:val="Tabletext"/>
            </w:pPr>
            <w:r>
              <w:rPr/>
              <w:t xml:space="preserve">Product code</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3_8767" w:id="197"/>
    <w:bookmarkStart w:name="f-3_8767-1" w:id="198"/>
    <w:p>
      <w:pPr>
        <w:pStyle w:val="Instructions"/>
      </w:pPr>
      <w:r>
        <w:rPr/>
        <w:t xml:space="preserve">The codes in the header row of the schedule designate each application or location of the item scheduled. Edit the codes to match those in other contract documents.</w:t>
      </w:r>
    </w:p>
    <w:bookmarkEnd w:id="198"/>
    <w:bookmarkEnd w:id="197"/>
    <w:p>
      <w:pPr>
        <w:pStyle w:val="Instructions"/>
      </w:pPr>
      <w:r>
        <w:rPr/>
        <w:t xml:space="preserve">Nominate the required quantity, extent and location on the drawings.</w:t>
      </w:r>
    </w:p>
    <w:p>
      <w:pPr>
        <w:pStyle w:val="Instructions"/>
      </w:pPr>
      <w:r>
        <w:rPr/>
        <w:t xml:space="preserve">Product code: Nominate the required product code from the selections below.</w:t>
      </w:r>
    </w:p>
    <w:p>
      <w:pPr>
        <w:pStyle w:val="Instructions"/>
      </w:pPr>
      <w:r>
        <w:rPr/>
        <w:t xml:space="preserve">Refer to the products documented in PRODUCTS, </w:t>
      </w:r>
      <w:r>
        <w:rPr>
          <w:b/>
        </w:rPr>
        <w:t xml:space="preserve">GUARDIAN TACTILE SYSTEMS STAIR NOSING</w:t>
      </w:r>
      <w:r>
        <w:rPr/>
        <w:t xml:space="preserve">.</w:t>
      </w:r>
    </w:p>
    <w:p>
      <w:pPr>
        <w:pStyle w:val="Instructions"/>
      </w:pPr>
      <w:r>
        <w:rPr>
          <w:b/>
        </w:rPr>
        <w:t xml:space="preserve">Aluminium Corrugated Strip:</w:t>
      </w:r>
    </w:p>
    <w:p>
      <w:pPr>
        <w:pStyle w:val="Instructionsindent"/>
      </w:pPr>
      <w:r>
        <w:rPr/>
        <w:t xml:space="preserve">Black anodised: GSN‑CS0360‑BK.</w:t>
      </w:r>
    </w:p>
    <w:p>
      <w:pPr>
        <w:pStyle w:val="Instructionsindent"/>
      </w:pPr>
      <w:r>
        <w:rPr/>
        <w:t xml:space="preserve">Silver anodised: GSN‑CS0360‑SV.</w:t>
      </w:r>
    </w:p>
    <w:p>
      <w:pPr>
        <w:pStyle w:val="Instructionsindent"/>
      </w:pPr>
      <w:r>
        <w:rPr/>
        <w:t xml:space="preserve">Brass anodised: GSN‑CS0360‑CB.</w:t>
      </w:r>
    </w:p>
    <w:p>
      <w:pPr>
        <w:pStyle w:val="Instructions"/>
      </w:pPr>
      <w:r>
        <w:rPr>
          <w:b/>
        </w:rPr>
        <w:t xml:space="preserve">Aluminium Corrugated Mini:</w:t>
      </w:r>
    </w:p>
    <w:p>
      <w:pPr>
        <w:pStyle w:val="Instructionsindent"/>
      </w:pPr>
      <w:r>
        <w:rPr/>
        <w:t xml:space="preserve">Black anodised: GSN‑CM1050‑BK.</w:t>
      </w:r>
    </w:p>
    <w:p>
      <w:pPr>
        <w:pStyle w:val="Instructionsindent"/>
      </w:pPr>
      <w:r>
        <w:rPr/>
        <w:t xml:space="preserve">Silver anodised: GSN‑CM1050‑SV.</w:t>
      </w:r>
    </w:p>
    <w:p>
      <w:pPr>
        <w:pStyle w:val="Instructionsindent"/>
      </w:pPr>
      <w:r>
        <w:rPr/>
        <w:t xml:space="preserve">Brass anodised: GSN‑CM1050‑CB.</w:t>
      </w:r>
    </w:p>
    <w:p>
      <w:pPr>
        <w:pStyle w:val="Instructions"/>
      </w:pPr>
      <w:r>
        <w:rPr>
          <w:b/>
        </w:rPr>
        <w:t xml:space="preserve">Guardian Non‑Slip Stair Nosing ‑ Ramp Back ‑ silicon carbide insert:</w:t>
      </w:r>
    </w:p>
    <w:p>
      <w:pPr>
        <w:pStyle w:val="Instructionsindent"/>
      </w:pPr>
      <w:r>
        <w:rPr/>
        <w:t xml:space="preserve">Black anodised ‑ Black insert: GSN‑SLBK1080‑CBK.</w:t>
      </w:r>
    </w:p>
    <w:p>
      <w:pPr>
        <w:pStyle w:val="Instructionsindent"/>
      </w:pPr>
      <w:r>
        <w:rPr/>
        <w:t xml:space="preserve">Black anodised ‑ Yellow insert: GSN‑SLBK1080‑CYL.</w:t>
      </w:r>
    </w:p>
    <w:p>
      <w:pPr>
        <w:pStyle w:val="Instructionsindent"/>
      </w:pPr>
      <w:r>
        <w:rPr/>
        <w:t xml:space="preserve">Black anodised ‑ Medium grey insert: GSN‑SLBK1080‑CMG.</w:t>
      </w:r>
    </w:p>
    <w:p>
      <w:pPr>
        <w:pStyle w:val="Instructionsindent"/>
      </w:pPr>
      <w:r>
        <w:rPr/>
        <w:t xml:space="preserve">Clear anodised ‑ Black insert: GSN‑SLSV1080‑CBK.</w:t>
      </w:r>
    </w:p>
    <w:p>
      <w:pPr>
        <w:pStyle w:val="Instructionsindent"/>
      </w:pPr>
      <w:r>
        <w:rPr/>
        <w:t xml:space="preserve">Clear anodised ‑ Yellow insert: GSN‑SLSV1080‑CYL.</w:t>
      </w:r>
    </w:p>
    <w:p>
      <w:pPr>
        <w:pStyle w:val="Instructionsindent"/>
      </w:pPr>
      <w:r>
        <w:rPr/>
        <w:t xml:space="preserve">Clear anodised ‑ Medium grey insert: GSN‑SLSV1080‑CMG.</w:t>
      </w:r>
    </w:p>
    <w:p>
      <w:pPr>
        <w:pStyle w:val="Instructions"/>
      </w:pPr>
      <w:r>
        <w:rPr>
          <w:b/>
        </w:rPr>
        <w:t xml:space="preserve">Guardian Non‑Slip Stair Nosing ‑ Bullnose Ramp Back ‑ silicon carbide insert:</w:t>
      </w:r>
    </w:p>
    <w:p>
      <w:pPr>
        <w:pStyle w:val="Instructionsindent"/>
      </w:pPr>
      <w:r>
        <w:rPr/>
        <w:t xml:space="preserve">Clear anodised ‑ Black insert: GSN‑BNSV3080‑CBK.</w:t>
      </w:r>
    </w:p>
    <w:p>
      <w:pPr>
        <w:pStyle w:val="Instructionsindent"/>
      </w:pPr>
      <w:r>
        <w:rPr/>
        <w:t xml:space="preserve">Clear anodised ‑ Yellow insert: GSN‑BNSV3080‑CYL.</w:t>
      </w:r>
    </w:p>
    <w:p>
      <w:pPr>
        <w:pStyle w:val="Instructionsindent"/>
      </w:pPr>
      <w:r>
        <w:rPr/>
        <w:t xml:space="preserve">Clear anodised ‑ Medium grey insert: GSN‑BNSV3080‑CMG.</w:t>
      </w:r>
    </w:p>
    <w:p>
      <w:pPr>
        <w:pStyle w:val="Instructionsindent"/>
      </w:pPr>
      <w:r>
        <w:rPr/>
        <w:t xml:space="preserve">Black anodised ‑ Black insert: GSN‑BNBK3080‑CBK.</w:t>
      </w:r>
    </w:p>
    <w:p>
      <w:pPr>
        <w:pStyle w:val="Instructionsindent"/>
      </w:pPr>
      <w:r>
        <w:rPr/>
        <w:t xml:space="preserve">Black anodised ‑ Yellow insert: GSN‑BNBK3080‑CYL.</w:t>
      </w:r>
    </w:p>
    <w:p>
      <w:pPr>
        <w:pStyle w:val="Instructionsindent"/>
      </w:pPr>
      <w:r>
        <w:rPr/>
        <w:t xml:space="preserve">Black anodised ‑ Medium grey insert: GSN‑BNBK3080‑CMG.</w:t>
      </w:r>
    </w:p>
    <w:p>
      <w:pPr>
        <w:pStyle w:val="Instructions"/>
      </w:pPr>
      <w:r>
        <w:rPr>
          <w:b/>
        </w:rPr>
        <w:t xml:space="preserve">Guardian Non‑Slip Stair Nosing ‑ Bullnose Ramp Back ‑ aluminium insert:</w:t>
      </w:r>
    </w:p>
    <w:p>
      <w:pPr>
        <w:pStyle w:val="Instructionsindent"/>
      </w:pPr>
      <w:r>
        <w:rPr/>
        <w:t xml:space="preserve">Clear anodised ‑ Black anodised insert: GSN‑BNSV3080‑ABK.</w:t>
      </w:r>
    </w:p>
    <w:p>
      <w:pPr>
        <w:pStyle w:val="Instructionsindent"/>
      </w:pPr>
      <w:r>
        <w:rPr/>
        <w:t xml:space="preserve">Clear anodised ‑ Silver anodised insert: GSN‑BNSV3080‑ASV.</w:t>
      </w:r>
    </w:p>
    <w:p>
      <w:pPr>
        <w:pStyle w:val="Instructionsindent"/>
      </w:pPr>
      <w:r>
        <w:rPr/>
        <w:t xml:space="preserve">Clear anodised ‑ Brass anodised insert: GSN‑BNSV3080‑AGB.</w:t>
      </w:r>
    </w:p>
    <w:p>
      <w:pPr>
        <w:pStyle w:val="Instructionsindent"/>
      </w:pPr>
      <w:r>
        <w:rPr/>
        <w:t xml:space="preserve">Black anodised ‑ Black anodised insert: GSN‑BNBK3080‑ABK.</w:t>
      </w:r>
    </w:p>
    <w:p>
      <w:pPr>
        <w:pStyle w:val="Instructionsindent"/>
      </w:pPr>
      <w:r>
        <w:rPr/>
        <w:t xml:space="preserve">Black anodised ‑ Silver anodised insert: GSN‑BNBK3080‑ASV.</w:t>
      </w:r>
    </w:p>
    <w:p>
      <w:pPr>
        <w:pStyle w:val="Instructionsindent"/>
      </w:pPr>
      <w:r>
        <w:rPr/>
        <w:t xml:space="preserve">Black anodised ‑ Brass anodised insert: GSN‑BNBK3080‑AGB.</w:t>
      </w:r>
    </w:p>
    <w:p>
      <w:pPr>
        <w:pStyle w:val="Instructionsindent"/>
      </w:pPr>
      <w:r>
        <w:rPr/>
        <w:t xml:space="preserve">Brass anodised ‑ Black anodised insert: GSN‑BNGD3080‑ABK.</w:t>
      </w:r>
    </w:p>
    <w:p>
      <w:pPr>
        <w:pStyle w:val="Instructionsindent"/>
      </w:pPr>
      <w:r>
        <w:rPr/>
        <w:t xml:space="preserve">Brass anodised ‑ Silver anodised insert: GSN‑BNGD3080‑ASV.</w:t>
      </w:r>
    </w:p>
    <w:p>
      <w:pPr>
        <w:pStyle w:val="Instructionsindent"/>
      </w:pPr>
      <w:r>
        <w:rPr/>
        <w:t xml:space="preserve">Brass anodised ‑ Brass anodised insert: GSN‑BNGD3080‑AGB.</w:t>
      </w:r>
    </w:p>
    <w:p>
      <w:pPr>
        <w:pStyle w:val="Instructions"/>
      </w:pPr>
      <w:r>
        <w:rPr>
          <w:b/>
        </w:rPr>
        <w:t xml:space="preserve">Aluminium Slimline Multi ‑ aluminium insert:</w:t>
      </w:r>
    </w:p>
    <w:p>
      <w:pPr>
        <w:pStyle w:val="Instructionsindent"/>
      </w:pPr>
      <w:r>
        <w:rPr/>
        <w:t xml:space="preserve">Clear anodised ‑ Black anodised insert: GSN‑SMSV1075‑ABK.</w:t>
      </w:r>
    </w:p>
    <w:p>
      <w:pPr>
        <w:pStyle w:val="Instructionsindent"/>
      </w:pPr>
      <w:r>
        <w:rPr/>
        <w:t xml:space="preserve">Clear anodised ‑ Silver anodised insert: GSN‑SMSV1075‑ASV.</w:t>
      </w:r>
    </w:p>
    <w:p>
      <w:pPr>
        <w:pStyle w:val="Instructionsindent"/>
      </w:pPr>
      <w:r>
        <w:rPr/>
        <w:t xml:space="preserve">Clear anodised ‑ Brass anodised insert: GSN‑SMSV1075‑ACB.</w:t>
      </w:r>
    </w:p>
    <w:p>
      <w:pPr>
        <w:pStyle w:val="Instructionsindent"/>
      </w:pPr>
      <w:r>
        <w:rPr/>
        <w:t xml:space="preserve">Black anodised ‑ Black anodised insert: GSN‑SMBK1075‑ABK.</w:t>
      </w:r>
    </w:p>
    <w:p>
      <w:pPr>
        <w:pStyle w:val="Instructionsindent"/>
      </w:pPr>
      <w:r>
        <w:rPr/>
        <w:t xml:space="preserve">Black anodised ‑ Silver anodised insert: GSN‑SMBK1075‑ASV.</w:t>
      </w:r>
    </w:p>
    <w:p>
      <w:pPr>
        <w:pStyle w:val="Instructionsindent"/>
      </w:pPr>
      <w:r>
        <w:rPr/>
        <w:t xml:space="preserve">Black anodised ‑ Brass anodised insert: GSN‑SMBK1075‑ACB.</w:t>
      </w:r>
    </w:p>
    <w:p>
      <w:pPr>
        <w:pStyle w:val="Instructionsindent"/>
      </w:pPr>
      <w:r>
        <w:rPr/>
        <w:t xml:space="preserve">Brass anodised ‑ Black anodised insert: GSN‑SMGD1075‑ABK.</w:t>
      </w:r>
    </w:p>
    <w:p>
      <w:pPr>
        <w:pStyle w:val="Instructionsindent"/>
      </w:pPr>
      <w:r>
        <w:rPr/>
        <w:t xml:space="preserve">Brass anodised ‑ Silver anodised insert: GSN‑SMGD1075‑ASV.</w:t>
      </w:r>
    </w:p>
    <w:p>
      <w:pPr>
        <w:pStyle w:val="Instructionsindent"/>
      </w:pPr>
      <w:r>
        <w:rPr/>
        <w:t xml:space="preserve">Brass anodised ‑ Brass anodised insert: GSN‑SMGD1075‑ACB.</w:t>
      </w:r>
    </w:p>
    <w:p>
      <w:pPr>
        <w:pStyle w:val="Instructions"/>
      </w:pPr>
      <w:r>
        <w:rPr>
          <w:b/>
        </w:rPr>
        <w:t xml:space="preserve">Fibreglass Stair Nosing Ramped:</w:t>
      </w:r>
    </w:p>
    <w:p>
      <w:pPr>
        <w:pStyle w:val="Instructionsindent"/>
      </w:pPr>
      <w:r>
        <w:rPr/>
        <w:t xml:space="preserve">Black: FBR‑037010R ‑BK.</w:t>
      </w:r>
    </w:p>
    <w:p>
      <w:pPr>
        <w:pStyle w:val="Instructionsindent"/>
      </w:pPr>
      <w:r>
        <w:rPr/>
        <w:t xml:space="preserve">Yellow: FBR‑037010R‑YL.</w:t>
      </w:r>
    </w:p>
    <w:bookmarkEnd w:id="195"/>
    <w:bookmarkStart w:name="f-28902-8" w:id="199"/>
    <w:p>
      <w:pPr>
        <w:pStyle w:val="Heading3"/>
      </w:pPr>
      <w:bookmarkStart w:name="h-28902-8" w:id="200"/>
      <w:r>
        <w:rPr/>
        <w:t xml:space="preserve">GUARDIAN TACTILE SYSTEMS ANTI‑SLIP TAPE</w:t>
      </w:r>
      <w:bookmarkEnd w:id="200"/>
    </w:p>
    <w:bookmarkEnd w:id="199"/>
    <w:bookmarkStart w:name="f-28902-9" w:id="201"/>
    <w:p>
      <w:pPr>
        <w:pStyle w:val="Heading4"/>
      </w:pPr>
      <w:bookmarkStart w:name="h-28902-9" w:id="202"/>
      <w:r>
        <w:rPr/>
        <w:t xml:space="preserve">Anti‑slip tape schedule</w:t>
      </w:r>
      <w:bookmarkEnd w:id="202"/>
    </w:p>
    <w:tbl>
      <w:tblPr>
        <w:tblStyle w:val="NATSPECTable"/>
        <w:tblW w:w="5000" w:type="pct"/>
        <w:tblLook w:firstRow="1" w:lastRow="0" w:firstColumn="0" w:lastColumn="0"/>
      </w:tblPr>
      <w:tr>
        <w:trPr>
          <w:tblHeader/>
        </w:trPr>
        <w:tc>
          <w:tcPr>
            <w:tcW w:w="40.0%" w:type="pct"/>
          </w:tcPr>
          <w:p>
            <w:pPr>
              <w:pStyle w:val="Tabletitle"/>
            </w:pPr>
          </w:p>
        </w:tc>
        <w:tc>
          <w:tcPr>
            <w:tcW w:w="20.0%" w:type="pct"/>
          </w:tcPr>
          <w:p>
            <w:pPr>
              <w:pStyle w:val="Tabletitle"/>
            </w:pPr>
            <w:r>
              <w:rPr/>
              <w:t xml:space="preserve">AST1</w:t>
            </w:r>
          </w:p>
        </w:tc>
        <w:tc>
          <w:tcPr>
            <w:tcW w:w="20.0%" w:type="pct"/>
          </w:tcPr>
          <w:p>
            <w:pPr>
              <w:pStyle w:val="Tabletitle"/>
            </w:pPr>
            <w:r>
              <w:rPr/>
              <w:t xml:space="preserve">AST2</w:t>
            </w:r>
          </w:p>
        </w:tc>
        <w:tc>
          <w:tcPr>
            <w:tcW w:w="20.0%" w:type="pct"/>
          </w:tcPr>
          <w:p>
            <w:pPr>
              <w:pStyle w:val="Tabletitle"/>
            </w:pPr>
            <w:r>
              <w:rPr/>
              <w:t xml:space="preserve">AST3</w:t>
            </w:r>
          </w:p>
        </w:tc>
      </w:tr>
      <w:tr>
        <w:trPr/>
        <w:tc>
          <w:tcPr>
            <w:tcW w:w="40.0%" w:type="pct"/>
          </w:tcPr>
          <w:p>
            <w:pPr>
              <w:pStyle w:val="Tabletext"/>
            </w:pPr>
            <w:r>
              <w:rPr/>
              <w:t xml:space="preserve">Product code</w:t>
            </w:r>
          </w:p>
        </w:tc>
        <w:tc>
          <w:tcPr>
            <w:tcW w:w="20.0%" w:type="pct"/>
          </w:tcPr>
          <w:p>
            <w:pPr>
              <w:pStyle w:val="Tabletext"/>
            </w:pPr>
          </w:p>
        </w:tc>
        <w:tc>
          <w:tcPr>
            <w:tcW w:w="20.0%" w:type="pct"/>
          </w:tcPr>
          <w:p>
            <w:pPr>
              <w:pStyle w:val="Tabletext"/>
            </w:pPr>
          </w:p>
        </w:tc>
        <w:tc>
          <w:tcPr>
            <w:tcW w:w="20.0%" w:type="pct"/>
          </w:tcPr>
          <w:p>
            <w:pPr>
              <w:pStyle w:val="Tabletext"/>
            </w:pPr>
          </w:p>
        </w:tc>
      </w:tr>
    </w:tbl>
    <w:p>
      <w:r>
        <w:t xml:space="preserve"> </w:t>
      </w:r>
    </w:p>
    <w:bookmarkStart w:name="f-4_8767" w:id="203"/>
    <w:bookmarkStart w:name="f-4_8767-1" w:id="204"/>
    <w:p>
      <w:pPr>
        <w:pStyle w:val="Instructions"/>
      </w:pPr>
      <w:r>
        <w:rPr/>
        <w:t xml:space="preserve">The codes in the header row of the schedule designate each application or location of the item scheduled. Edit the codes to match those in other contract documents.</w:t>
      </w:r>
    </w:p>
    <w:bookmarkEnd w:id="204"/>
    <w:bookmarkEnd w:id="203"/>
    <w:p>
      <w:pPr>
        <w:pStyle w:val="Instructions"/>
      </w:pPr>
      <w:r>
        <w:rPr/>
        <w:t xml:space="preserve">Nominate the required quantity, extent and location on the drawings.</w:t>
      </w:r>
    </w:p>
    <w:p>
      <w:pPr>
        <w:pStyle w:val="Instructions"/>
      </w:pPr>
      <w:r>
        <w:rPr/>
        <w:t xml:space="preserve">Product code: Nominate the required product code from the options below.</w:t>
      </w:r>
    </w:p>
    <w:p>
      <w:pPr>
        <w:pStyle w:val="Instructions"/>
      </w:pPr>
      <w:r>
        <w:rPr/>
        <w:t xml:space="preserve">Refer to the products documented in PRODUCTS, </w:t>
      </w:r>
      <w:r>
        <w:rPr>
          <w:b/>
        </w:rPr>
        <w:t xml:space="preserve">GUARDIAN TACTILE SYSTEMS ANTI‑SLIP TAPE</w:t>
      </w:r>
      <w:r>
        <w:rPr/>
        <w:t xml:space="preserve">.</w:t>
      </w:r>
    </w:p>
    <w:p>
      <w:pPr>
        <w:pStyle w:val="Instructions"/>
      </w:pPr>
      <w:r>
        <w:rPr>
          <w:b/>
        </w:rPr>
        <w:t xml:space="preserve">Anti‑Slip Safety Tape:</w:t>
      </w:r>
    </w:p>
    <w:p>
      <w:pPr>
        <w:pStyle w:val="Instructionsindent"/>
      </w:pPr>
      <w:r>
        <w:rPr/>
        <w:t xml:space="preserve">Black (50 mm): TAPE‑C‑50BK.</w:t>
      </w:r>
    </w:p>
    <w:p>
      <w:pPr>
        <w:pStyle w:val="Instructionsindent"/>
      </w:pPr>
      <w:r>
        <w:rPr/>
        <w:t xml:space="preserve">Black (60 mm): TAPE‑C‑60BK.</w:t>
      </w:r>
    </w:p>
    <w:p>
      <w:pPr>
        <w:pStyle w:val="Instructionsindent"/>
      </w:pPr>
      <w:r>
        <w:rPr/>
        <w:t xml:space="preserve">Black (70 mm): TAPE‑C‑70BK.</w:t>
      </w:r>
    </w:p>
    <w:p>
      <w:pPr>
        <w:pStyle w:val="Instructionsindent"/>
      </w:pPr>
      <w:r>
        <w:rPr/>
        <w:t xml:space="preserve">Safety yellow (50 mm): TAPE‑C‑50YL.</w:t>
      </w:r>
    </w:p>
    <w:p>
      <w:pPr>
        <w:pStyle w:val="Instructionsindent"/>
      </w:pPr>
      <w:r>
        <w:rPr/>
        <w:t xml:space="preserve">Safety yellow (60 mm): TAPE‑C‑60YL.</w:t>
      </w:r>
    </w:p>
    <w:p>
      <w:pPr>
        <w:pStyle w:val="Instructionsindent"/>
      </w:pPr>
      <w:r>
        <w:rPr/>
        <w:t xml:space="preserve">Safety yellow (70 mm): TAPE‑C‑70YL.</w:t>
      </w:r>
    </w:p>
    <w:p>
      <w:pPr>
        <w:pStyle w:val="Instructionsindent"/>
      </w:pPr>
      <w:r>
        <w:rPr/>
        <w:t xml:space="preserve">Medium grey (50 mm): TAPE‑C‑50MG.</w:t>
      </w:r>
    </w:p>
    <w:p>
      <w:pPr>
        <w:pStyle w:val="Instructionsindent"/>
      </w:pPr>
      <w:r>
        <w:rPr/>
        <w:t xml:space="preserve">Medium grey (60 mm): TAPE‑C‑60MG.</w:t>
      </w:r>
    </w:p>
    <w:p>
      <w:pPr>
        <w:pStyle w:val="Instructionsindent"/>
      </w:pPr>
      <w:r>
        <w:rPr/>
        <w:t xml:space="preserve">Medium grey (70 mm): TAPE‑C‑70MG.</w:t>
      </w:r>
    </w:p>
    <w:bookmarkEnd w:id="201"/>
    <w:bookmarkEnd w:id="177"/>
    <w:bookmarkEnd w:id="23"/>
    <w:bookmarkStart w:name="f-28896-3" w:id="205"/>
    <w:bookmarkStart w:name="f-28903" w:id="206"/>
    <w:bookmarkStart w:name="f-28903-1" w:id="207"/>
    <w:p>
      <w:pPr>
        <w:pStyle w:val="InstructionsHeading4"/>
      </w:pPr>
      <w:bookmarkStart w:name="h-28903-1" w:id="208"/>
      <w:r>
        <w:rPr/>
        <w:t xml:space="preserve">REFERENCED DOCUMENTS</w:t>
      </w:r>
      <w:bookmarkEnd w:id="208"/>
    </w:p>
    <w:bookmarkEnd w:id="207"/>
    <w:p>
      <w:pPr>
        <w:pStyle w:val="Instructions"/>
      </w:pPr>
      <w:r>
        <w:rPr>
          <w:b/>
        </w:rPr>
        <w:t xml:space="preserve">The following documents are incorporated into this worksection by reference:</w:t>
      </w:r>
    </w:p>
    <w:bookmarkStart w:name="f-28903-10_01428_000-000" w:id="209"/>
    <w:p>
      <w:pPr>
        <w:pStyle w:val="Standard1"/>
      </w:pPr>
      <w:r>
        <w:rPr/>
        <w:t xml:space="preserve">AS 1428</w:t>
      </w:r>
      <w:r>
        <w:tab/>
      </w:r>
      <w:r>
        <w:tab/>
      </w:r>
      <w:r>
        <w:rPr/>
        <w:t xml:space="preserve">Design for access and mobility</w:t>
      </w:r>
    </w:p>
    <w:bookmarkEnd w:id="209"/>
    <w:bookmarkStart w:name="f-28903-10_01428_001-000_2021" w:id="210"/>
    <w:p>
      <w:pPr>
        <w:pStyle w:val="Standard2"/>
      </w:pPr>
      <w:r>
        <w:rPr/>
        <w:t xml:space="preserve">AS 1428.1</w:t>
      </w:r>
      <w:r>
        <w:tab/>
      </w:r>
      <w:r>
        <w:rPr/>
        <w:t xml:space="preserve">2021</w:t>
      </w:r>
      <w:r>
        <w:tab/>
      </w:r>
      <w:r>
        <w:rPr/>
        <w:t xml:space="preserve">General requirements for access - New building work</w:t>
      </w:r>
    </w:p>
    <w:bookmarkEnd w:id="210"/>
    <w:bookmarkStart w:name="f-28903-10_01428_004-001_2009" w:id="211"/>
    <w:p>
      <w:pPr>
        <w:pStyle w:val="Standard2"/>
      </w:pPr>
      <w:r>
        <w:rPr/>
        <w:t xml:space="preserve">AS/NZS 1428.4.1</w:t>
      </w:r>
      <w:r>
        <w:tab/>
      </w:r>
      <w:r>
        <w:rPr/>
        <w:t xml:space="preserve">2009</w:t>
      </w:r>
      <w:r>
        <w:tab/>
      </w:r>
      <w:r>
        <w:rPr/>
        <w:t xml:space="preserve">Means to assist the orientation of people with vision impairment - Tactile ground surface indicators</w:t>
      </w:r>
    </w:p>
    <w:bookmarkEnd w:id="211"/>
    <w:bookmarkStart w:name="f-28903-10_04586_000-000_2013" w:id="212"/>
    <w:p>
      <w:pPr>
        <w:pStyle w:val="Standard1"/>
      </w:pPr>
      <w:r>
        <w:rPr/>
        <w:t xml:space="preserve">AS 4586</w:t>
      </w:r>
      <w:r>
        <w:tab/>
      </w:r>
      <w:r>
        <w:rPr/>
        <w:t xml:space="preserve">2013</w:t>
      </w:r>
      <w:r>
        <w:tab/>
      </w:r>
      <w:r>
        <w:rPr/>
        <w:t xml:space="preserve">Slip resistance classification of new pedestrian surface materials</w:t>
      </w:r>
    </w:p>
    <w:bookmarkEnd w:id="212"/>
    <w:p>
      <w:pPr>
        <w:pStyle w:val="Instructions"/>
      </w:pPr>
      <w:r>
        <w:rPr>
          <w:b/>
        </w:rPr>
        <w:t xml:space="preserve">The following documents are mentioned only in the </w:t>
      </w:r>
      <w:r>
        <w:rPr>
          <w:b/>
          <w:i/>
        </w:rPr>
        <w:t xml:space="preserve">Guidance</w:t>
      </w:r>
      <w:r>
        <w:rPr>
          <w:b/>
        </w:rPr>
        <w:t xml:space="preserve"> text:</w:t>
      </w:r>
    </w:p>
    <w:bookmarkStart w:name="f-28903-=10_01428_000-000" w:id="213"/>
    <w:p>
      <w:pPr>
        <w:pStyle w:val="Standard1"/>
      </w:pPr>
      <w:r>
        <w:rPr/>
        <w:t xml:space="preserve">AS 1428</w:t>
      </w:r>
      <w:r>
        <w:tab/>
      </w:r>
      <w:r>
        <w:tab/>
      </w:r>
      <w:r>
        <w:rPr/>
        <w:t xml:space="preserve">Design for access and mobility</w:t>
      </w:r>
    </w:p>
    <w:bookmarkEnd w:id="213"/>
    <w:bookmarkStart w:name="f-28903-10_01428_001-000_2001" w:id="214"/>
    <w:p>
      <w:pPr>
        <w:pStyle w:val="Standard2"/>
      </w:pPr>
      <w:r>
        <w:rPr/>
        <w:t xml:space="preserve">AS 1428.1</w:t>
      </w:r>
      <w:r>
        <w:tab/>
      </w:r>
      <w:r>
        <w:rPr/>
        <w:t xml:space="preserve">2001</w:t>
      </w:r>
      <w:r>
        <w:tab/>
      </w:r>
      <w:r>
        <w:rPr/>
        <w:t xml:space="preserve">General requirements for access - New building work</w:t>
      </w:r>
    </w:p>
    <w:bookmarkEnd w:id="214"/>
    <w:bookmarkStart w:name="f-28903-10_01428_004-000_1992" w:id="215"/>
    <w:p>
      <w:pPr>
        <w:pStyle w:val="Standard2"/>
      </w:pPr>
      <w:r>
        <w:rPr/>
        <w:t xml:space="preserve">AS 1428.4</w:t>
      </w:r>
      <w:r>
        <w:tab/>
      </w:r>
      <w:r>
        <w:rPr/>
        <w:t xml:space="preserve">1992</w:t>
      </w:r>
      <w:r>
        <w:tab/>
      </w:r>
      <w:r>
        <w:rPr/>
        <w:t xml:space="preserve">Tactile ground surface indicators for the orientation of people with vision impairment</w:t>
      </w:r>
    </w:p>
    <w:bookmarkEnd w:id="215"/>
    <w:bookmarkStart w:name="f-28903-10_04663_000-000_2013" w:id="216"/>
    <w:p>
      <w:pPr>
        <w:pStyle w:val="Standard1"/>
      </w:pPr>
      <w:r>
        <w:rPr/>
        <w:t xml:space="preserve">AS 4663</w:t>
      </w:r>
      <w:r>
        <w:tab/>
      </w:r>
      <w:r>
        <w:rPr/>
        <w:t xml:space="preserve">2013</w:t>
      </w:r>
      <w:r>
        <w:tab/>
      </w:r>
      <w:r>
        <w:rPr/>
        <w:t xml:space="preserve">Slip resistance measurement of existing pedestrian surfaces</w:t>
      </w:r>
    </w:p>
    <w:bookmarkEnd w:id="216"/>
    <w:bookmarkStart w:name="f-28903-25_NATSPEC_DES_001_00000" w:id="217"/>
    <w:p>
      <w:pPr>
        <w:pStyle w:val="Standard1"/>
      </w:pPr>
      <w:r>
        <w:rPr/>
        <w:t xml:space="preserve">NATSPEC DES 001</w:t>
      </w:r>
      <w:r>
        <w:tab/>
      </w:r>
      <w:r>
        <w:tab/>
      </w:r>
      <w:r>
        <w:rPr/>
        <w:t xml:space="preserve">Slip resistance performance</w:t>
      </w:r>
    </w:p>
    <w:bookmarkEnd w:id="217"/>
    <w:bookmarkStart w:name="f-28903-25_NATSPEC_GEN_006_00000" w:id="218"/>
    <w:p>
      <w:pPr>
        <w:pStyle w:val="Standard1"/>
      </w:pPr>
      <w:r>
        <w:rPr/>
        <w:t xml:space="preserve">NATSPEC GEN 006</w:t>
      </w:r>
      <w:r>
        <w:tab/>
      </w:r>
      <w:r>
        <w:tab/>
      </w:r>
      <w:r>
        <w:rPr/>
        <w:t xml:space="preserve">Product specifying and substitution</w:t>
      </w:r>
    </w:p>
    <w:bookmarkEnd w:id="218"/>
    <w:bookmarkStart w:name="f-28903-25_NATSPEC_GEN_008_00000" w:id="219"/>
    <w:p>
      <w:pPr>
        <w:pStyle w:val="Standard1"/>
      </w:pPr>
      <w:r>
        <w:rPr/>
        <w:t xml:space="preserve">NATSPEC GEN 008</w:t>
      </w:r>
      <w:r>
        <w:tab/>
      </w:r>
      <w:r>
        <w:tab/>
      </w:r>
      <w:r>
        <w:rPr/>
        <w:t xml:space="preserve">Branded vs generic worksections</w:t>
      </w:r>
    </w:p>
    <w:bookmarkEnd w:id="219"/>
    <w:bookmarkStart w:name="f-28903-25_NATSPEC_GEN_024_00000" w:id="220"/>
    <w:p>
      <w:pPr>
        <w:pStyle w:val="Standard1"/>
      </w:pPr>
      <w:r>
        <w:rPr/>
        <w:t xml:space="preserve">NATSPEC GEN 024</w:t>
      </w:r>
      <w:r>
        <w:tab/>
      </w:r>
      <w:r>
        <w:tab/>
      </w:r>
      <w:r>
        <w:rPr/>
        <w:t xml:space="preserve">NATSPEC selections schedules</w:t>
      </w:r>
    </w:p>
    <w:bookmarkEnd w:id="220"/>
    <w:bookmarkStart w:name="f-28903-25_NATSPEC_TR_01_00000" w:id="221"/>
    <w:p>
      <w:pPr>
        <w:pStyle w:val="Standard1"/>
      </w:pPr>
      <w:r>
        <w:rPr/>
        <w:t xml:space="preserve">NATSPEC TR 01</w:t>
      </w:r>
      <w:r>
        <w:tab/>
      </w:r>
      <w:r>
        <w:tab/>
      </w:r>
      <w:r>
        <w:rPr/>
        <w:t xml:space="preserve">Specifying ESD</w:t>
      </w:r>
    </w:p>
    <w:bookmarkEnd w:id="221"/>
    <w:bookmarkEnd w:id="206"/>
    <w:sectP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rsidR="003F10B8" w:rsidRPr="00420ABA" w:rsidSect="00E57BAC">
      <w:headerReference w:type="even" r:id="rId7"/>
      <w:headerReference w:type="default" r:id="rId8"/>
      <w:footerReference w:type="even" r:id="rId9"/>
      <w:footerReference w:type="default" r:id="rId10"/>
      <w:headerReference w:type="first" r:id="rId11"/>
      <w:footerReference w:type="first" r:id="rId12"/>
      <w:footnotePr>
        <w:numFmt w:val="lowerRoman"/>
      </w:footnotePr>
      <w:endnotePr>
        <w:numFmt w:val="decimal"/>
      </w:endnotePr>
      <w:pgSz w:w="11907" w:h="16840" w:code="9"/>
      <w:pgMar w:top="851" w:right="1418" w:bottom="851" w:left="1418" w:header="720" w:footer="720" w:gutter="0"/>
      <w:cols w:space="720"/>
    </w:sectPr>
    <w:bookmarkEnd w:id="205"/>
  </w:body>
</w:document>
</file>

<file path=word/endnotes.xml><?xml version="1.0" encoding="utf-8"?>
<w:end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endnote w:type="separator" w:id="-1">
    <w:p w14:paraId="1D2386F0" w14:textId="77777777" w:rsidR="00A6597C" w:rsidRDefault="00A6597C">
      <w:r>
        <w:separator/>
      </w:r>
    </w:p>
  </w:endnote>
  <w:endnote w:type="continuationSeparator" w:id="0">
    <w:p w14:paraId="4E998D1D" w14:textId="77777777" w:rsidR="00A6597C" w:rsidRDefault="00A6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E77ECC0" w14:textId="77777777" w:rsidR="006567D2" w:rsidRDefault="006567D2">
    <w:pPr>
      <w:pStyle w:val="Footer"/>
    </w:pPr>
  </w:p>
  <w:p w14:paraId="29C245F0" w14:textId="77777777" w:rsidR="006567D2" w:rsidRDefault="006567D2">
    <w:pPr>
      <w:pStyle w:val="Footer"/>
    </w:pPr>
    <w:r>
      <w:t>Date</w:t>
    </w:r>
    <w:r>
      <w:tab/>
    </w:r>
    <w:r>
      <w:fldChar w:fldCharType="begin"/>
    </w:r>
    <w:r>
      <w:instrText xml:space="preserve"> PAGE </w:instrText>
    </w:r>
    <w:r>
      <w:fldChar w:fldCharType="separate"/>
    </w:r>
    <w:r>
      <w:rPr>
        <w:noProof/>
      </w:rPr>
      <w:t>2</w:t>
    </w:r>
    <w:r>
      <w:fldChar w:fldCharType="end"/>
    </w:r>
    <w:r>
      <w:tab/>
      <w:t>NATSPEC</w:t>
    </w:r>
  </w:p>
</w:ftr>
</file>

<file path=word/footer2.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8386707" w14:textId="77777777" w:rsidR="006567D2" w:rsidRDefault="006567D2">
    <w:pPr>
      <w:pStyle w:val="Footer"/>
    </w:pPr>
  </w:p>
  <w:p w14:paraId="56D572F3" w14:textId="77777777" w:rsidR="006567D2" w:rsidRDefault="00DA00B9">
    <w:pPr>
      <w:pStyle w:val="Footer"/>
    </w:pPr>
    <w:r>
      <w:t>© NATSPEC (</w:t>
    </w:r>
    <w:sdt>
      <w:sdtPr>
        <w:alias w:val="Subject"/>
        <w:tag w:val=""/>
        <w:id w:val="1291787495"/>
        <w:placeholder>
          <w:docPart w:val="51F9EEBBD2D0489D9B33E0E90B72CD55"/>
        </w:placeholder>
        <w:dataBinding w:prefixMappings="xmlns:ns0='http://purl.org/dc/elements/1.1/' xmlns:ns1='http://schemas.openxmlformats.org/package/2006/metadata/core-properties' " w:xpath="/ns1:coreProperties[1]/ns0:subject[1]" w:storeItemID="{6C3C8BC8-F283-45AE-878A-BAB7291924A1}"/>
        <w:text/>
      </w:sdtPr>
      <w:sdtContent>
        <w:r w:rsidR="00D7123E">
          <w:t>Word Template</w:t>
        </w:r>
      </w:sdtContent>
    </w:sdt>
    <w:r w:rsidR="006567D2">
      <w:t>)</w:t>
    </w:r>
    <w:r w:rsidR="006567D2">
      <w:tab/>
    </w:r>
    <w:r w:rsidR="006567D2">
      <w:fldChar w:fldCharType="begin"/>
    </w:r>
    <w:r w:rsidR="006567D2">
      <w:instrText xml:space="preserve"> PAGE </w:instrText>
    </w:r>
    <w:r w:rsidR="006567D2">
      <w:fldChar w:fldCharType="separate"/>
    </w:r>
    <w:r w:rsidR="00D7123E">
      <w:rPr>
        <w:noProof/>
      </w:rPr>
      <w:t>14</w:t>
    </w:r>
    <w:r w:rsidR="006567D2">
      <w:fldChar w:fldCharType="end"/>
    </w:r>
    <w:r w:rsidR="006567D2">
      <w:tab/>
    </w:r>
    <w:r w:rsidR="006567D2">
      <w:fldChar w:fldCharType="begin"/>
    </w:r>
    <w:r w:rsidR="006567D2">
      <w:instrText xml:space="preserve"> MACROBUTTON  ac_OnHelp "[Insert date]" </w:instrText>
    </w:r>
    <w:r w:rsidR="006567D2">
      <w:fldChar w:fldCharType="end"/>
    </w:r>
  </w:p>
  <w:p w14:paraId="55A7B456" w14:textId="77777777" w:rsidR="006567D2" w:rsidRDefault="006567D2">
    <w:pPr>
      <w:pStyle w:val="Footer"/>
    </w:pPr>
  </w:p>
</w:ftr>
</file>

<file path=word/footer3.xml><?xml version="1.0" encoding="utf-8"?>
<w:ft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D406ECA" w14:textId="77777777" w:rsidR="00BB3C2D" w:rsidRDefault="00BB3C2D">
    <w:pPr>
      <w:pStyle w:val="Footer"/>
    </w:pPr>
  </w:p>
</w:ftr>
</file>

<file path=word/footnotes.xml><?xml version="1.0" encoding="utf-8"?>
<w:footnote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footnote w:type="separator" w:id="-1">
    <w:p w14:paraId="44DB2AEC" w14:textId="77777777" w:rsidR="00A6597C" w:rsidRDefault="00A6597C">
      <w:r>
        <w:separator/>
      </w:r>
    </w:p>
  </w:footnote>
  <w:footnote w:type="continuationSeparator" w:id="0">
    <w:p w14:paraId="58FAC1A8" w14:textId="77777777" w:rsidR="00A6597C" w:rsidRDefault="00A6597C">
      <w:r>
        <w:continuationSeparator/>
      </w:r>
    </w:p>
  </w:footnote>
</w:footnotes>
</file>

<file path=word/header1.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98925BE" w14:textId="77777777" w:rsidR="00BB3C2D" w:rsidRDefault="00BB3C2D">
    <w:pPr>
      <w:pStyle w:val="Header"/>
    </w:pPr>
  </w:p>
</w:hdr>
</file>

<file path=word/header2.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723FA1C" w14:textId="0823E399" w:rsidR="006567D2" w:rsidRPr="00BB3C2D" w:rsidRDefault="00000000">
    <w:pPr>
      <w:pStyle w:val="Header"/>
    </w:pPr>
    <w:sdt>
      <w:sdtPr>
        <w:alias w:val="Category"/>
        <w:tag w:val=""/>
        <w:id w:val="1359240299"/>
        <w:placeholder>
          <w:docPart w:val="31BECDE4F6EA497FB26583C3D3546F63"/>
        </w:placeholder>
        <w:dataBinding w:prefixMappings="xmlns:ns0='http://purl.org/dc/elements/1.1/' xmlns:ns1='http://schemas.openxmlformats.org/package/2006/metadata/core-properties' " w:xpath="/ns1:coreProperties[1]/ns1:category[1]" w:storeItemID="{6C3C8BC8-F283-45AE-878A-BAB7291924A1}"/>
        <w:text/>
      </w:sdtPr>
      <w:sdtContent>
        <w:r w:rsidR="00EC2270">
          <w:t>04 Sites</w:t>
        </w:r>
      </w:sdtContent>
    </w:sdt>
    <w:r w:rsidR="006567D2">
      <w:tab/>
    </w:r>
    <w:r w:rsidR="007533D6" w:rsidRPr="00BB3C2D">
      <w:rPr>
        <w:noProof/>
      </w:rPr>
      <w:fldChar w:fldCharType="begin"/>
    </w:r>
    <w:r w:rsidR="007533D6" w:rsidRPr="00BB3C2D">
      <w:rPr>
        <w:noProof/>
      </w:rPr>
      <w:instrText xml:space="preserve"> STYLEREF  "Heading 1"</w:instrText>
    </w:r>
    <w:r w:rsidR="007533D6" w:rsidRPr="00BB3C2D">
      <w:rPr>
        <w:noProof/>
      </w:rPr>
      <w:fldChar w:fldCharType="separate"/>
    </w:r>
    <w:r w:rsidR="00BB3C2D">
      <w:rPr>
        <w:noProof/>
      </w:rPr>
      <w:t>0411 Waterproofing – external and tanking</w:t>
    </w:r>
    <w:r w:rsidR="007533D6" w:rsidRPr="00BB3C2D">
      <w:rPr>
        <w:noProof/>
      </w:rPr>
      <w:fldChar w:fldCharType="end"/>
    </w:r>
  </w:p>
  <w:p w14:paraId="7A3EC4FB" w14:textId="77777777" w:rsidR="006567D2" w:rsidRDefault="006567D2"/>
</w:hdr>
</file>

<file path=word/header3.xml><?xml version="1.0" encoding="utf-8"?>
<w:hdr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205B659" w14:textId="77777777" w:rsidR="00BB3C2D" w:rsidRDefault="00BB3C2D">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abstractNumId="0" w15:restartNumberingAfterBreak="0">
    <w:nsid w:val="FFFFFFFB"/>
    <w:multiLevelType w:val="multilevel"/>
    <w:tmpl w:val="98E03446"/>
    <w:lvl w:ilvl="0">
      <w:start w:val="1"/>
      <w:numFmt w:val="bullet"/>
      <w:pStyle w:val="NormalIndent3"/>
      <w:lvlText w:val="*"/>
      <w:lvlJc w:val="left"/>
      <w:pPr>
        <w:tabs>
          <w:tab w:val="num" w:pos="562"/>
        </w:tabs>
        <w:ind w:left="562" w:hanging="142"/>
      </w:pPr>
      <w:rPr>
        <w:rFonts w:ascii="Times New Roman" w:hAnsi="Times New Roman" w:cs="Times New Roman" w:hint="default"/>
        <w:color w:val="auto"/>
      </w:rPr>
    </w:lvl>
    <w:lvl w:ilvl="1">
      <w:start w:val="1"/>
      <w:numFmt w:val="decimal"/>
      <w:isLgl/>
      <w:suff w:val="nothing"/>
      <w:lvlText w:val="%1%2"/>
      <w:lvlJc w:val="left"/>
      <w:pPr>
        <w:ind w:left="-289" w:firstLine="0"/>
      </w:pPr>
      <w:rPr>
        <w:rFonts w:hint="default"/>
      </w:rPr>
    </w:lvl>
    <w:lvl w:ilvl="2">
      <w:start w:val="1"/>
      <w:numFmt w:val="decimal"/>
      <w:suff w:val="nothing"/>
      <w:lvlText w:val="%2.%3"/>
      <w:lvlJc w:val="left"/>
      <w:pPr>
        <w:ind w:left="-289" w:firstLine="0"/>
      </w:pPr>
      <w:rPr>
        <w:rFonts w:hint="default"/>
      </w:rPr>
    </w:lvl>
    <w:lvl w:ilvl="3">
      <w:start w:val="1"/>
      <w:numFmt w:val="none"/>
      <w:suff w:val="nothing"/>
      <w:lvlText w:val=""/>
      <w:lvlJc w:val="left"/>
      <w:pPr>
        <w:ind w:left="-289" w:firstLine="0"/>
      </w:pPr>
      <w:rPr>
        <w:rFonts w:hint="default"/>
      </w:rPr>
    </w:lvl>
    <w:lvl w:ilvl="4">
      <w:start w:val="1"/>
      <w:numFmt w:val="none"/>
      <w:lvlText w:val=""/>
      <w:lvlJc w:val="left"/>
      <w:pPr>
        <w:tabs>
          <w:tab w:val="num" w:pos="71"/>
        </w:tabs>
        <w:ind w:left="-289" w:firstLine="0"/>
      </w:pPr>
      <w:rPr>
        <w:rFonts w:hint="default"/>
      </w:rPr>
    </w:lvl>
    <w:lvl w:ilvl="5">
      <w:start w:val="1"/>
      <w:numFmt w:val="none"/>
      <w:lvlText w:val=""/>
      <w:lvlJc w:val="left"/>
      <w:pPr>
        <w:tabs>
          <w:tab w:val="num" w:pos="71"/>
        </w:tabs>
        <w:ind w:left="-289" w:firstLine="0"/>
      </w:pPr>
      <w:rPr>
        <w:rFonts w:hint="default"/>
      </w:rPr>
    </w:lvl>
    <w:lvl w:ilvl="6">
      <w:start w:val="1"/>
      <w:numFmt w:val="none"/>
      <w:lvlText w:val=""/>
      <w:lvlJc w:val="left"/>
      <w:pPr>
        <w:tabs>
          <w:tab w:val="num" w:pos="71"/>
        </w:tabs>
        <w:ind w:left="-289" w:firstLine="0"/>
      </w:pPr>
      <w:rPr>
        <w:rFonts w:hint="default"/>
      </w:rPr>
    </w:lvl>
    <w:lvl w:ilvl="7">
      <w:start w:val="1"/>
      <w:numFmt w:val="none"/>
      <w:lvlText w:val=""/>
      <w:lvlJc w:val="left"/>
      <w:pPr>
        <w:tabs>
          <w:tab w:val="num" w:pos="71"/>
        </w:tabs>
        <w:ind w:left="-289" w:firstLine="0"/>
      </w:pPr>
      <w:rPr>
        <w:rFonts w:hint="default"/>
      </w:rPr>
    </w:lvl>
    <w:lvl w:ilvl="8">
      <w:start w:val="1"/>
      <w:numFmt w:val="none"/>
      <w:lvlText w:val=""/>
      <w:lvlJc w:val="left"/>
      <w:pPr>
        <w:tabs>
          <w:tab w:val="num" w:pos="71"/>
        </w:tabs>
        <w:ind w:left="-289" w:firstLine="0"/>
      </w:pPr>
      <w:rPr>
        <w:rFonts w:hint="default"/>
      </w:rPr>
    </w:lvl>
  </w:abstractNum>
  <w:abstractNum w:abstractNumId="1" w15:restartNumberingAfterBreak="0">
    <w:nsid w:val="03463526"/>
    <w:multiLevelType w:val="multilevel"/>
    <w:tmpl w:val="5AFCD3BA"/>
    <w:styleLink w:val="Clause"/>
    <w:lvl w:ilvl="0">
      <w:start w:val="1"/>
      <w:numFmt w:val="decimal"/>
      <w:lvlText w:val="%1."/>
      <w:lvlJc w:val="left"/>
      <w:pPr>
        <w:tabs>
          <w:tab w:val="num" w:pos="680"/>
        </w:tabs>
        <w:ind w:left="680" w:hanging="680"/>
      </w:pPr>
      <w:rPr>
        <w:rFonts w:hint="default"/>
        <w:b w:val="0"/>
        <w:color w:val="auto"/>
      </w:rPr>
    </w:lvl>
    <w:lvl w:ilvl="1">
      <w:start w:val="1"/>
      <w:numFmt w:val="decimal"/>
      <w:lvlText w:val="%1.%2"/>
      <w:lvlJc w:val="left"/>
      <w:pPr>
        <w:tabs>
          <w:tab w:val="num" w:pos="680"/>
        </w:tabs>
        <w:ind w:left="680" w:hanging="680"/>
      </w:pPr>
      <w:rPr>
        <w:rFonts w:hint="default"/>
        <w:b/>
        <w:i w:val="0"/>
        <w:color w:val="auto"/>
      </w:rPr>
    </w:lvl>
    <w:lvl w:ilvl="2">
      <w:start w:val="1"/>
      <w:numFmt w:val="lowerLetter"/>
      <w:lvlText w:val="(%3)"/>
      <w:lvlJc w:val="left"/>
      <w:pPr>
        <w:tabs>
          <w:tab w:val="num" w:pos="1361"/>
        </w:tabs>
        <w:ind w:left="1361" w:hanging="681"/>
      </w:pPr>
      <w:rPr>
        <w:rFonts w:hint="default"/>
        <w:i w:val="0"/>
        <w:color w:val="auto"/>
      </w:rPr>
    </w:lvl>
    <w:lvl w:ilvl="3">
      <w:start w:val="1"/>
      <w:numFmt w:val="lowerRoman"/>
      <w:lvlText w:val="(%4)"/>
      <w:lvlJc w:val="left"/>
      <w:pPr>
        <w:tabs>
          <w:tab w:val="num" w:pos="2081"/>
        </w:tabs>
        <w:ind w:left="2041" w:hanging="680"/>
      </w:pPr>
      <w:rPr>
        <w:rFonts w:hint="default"/>
        <w:i w:val="0"/>
        <w:color w:val="auto"/>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42"/>
        </w:tabs>
        <w:ind w:left="3402" w:hanging="680"/>
      </w:pPr>
      <w:rPr>
        <w:rFonts w:hint="default"/>
      </w:rPr>
    </w:lvl>
    <w:lvl w:ilvl="6">
      <w:start w:val="1"/>
      <w:numFmt w:val="none"/>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 w15:restartNumberingAfterBreak="0">
    <w:nsid w:val="0C5549D0"/>
    <w:multiLevelType w:val="hybridMultilevel"/>
    <w:tmpl w:val="517C6C36"/>
    <w:lvl w:ilvl="0" w:tplc="61EE871E">
      <w:start w:val="1"/>
      <w:numFmt w:val="bullet"/>
      <w:pStyle w:val="Tableindent"/>
      <w:lvlText w:val="­"/>
      <w:lvlJc w:val="left"/>
      <w:pPr>
        <w:tabs>
          <w:tab w:val="num" w:pos="142"/>
        </w:tabs>
        <w:ind w:left="142" w:hanging="142"/>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A5D43"/>
    <w:multiLevelType w:val="hybridMultilevel"/>
    <w:tmpl w:val="57804BB6"/>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4" w15:restartNumberingAfterBreak="0">
    <w:nsid w:val="17350517"/>
    <w:multiLevelType w:val="multilevel"/>
    <w:tmpl w:val="93C6B2A4"/>
    <w:styleLink w:val="index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A970A2"/>
    <w:multiLevelType w:val="hybridMultilevel"/>
    <w:tmpl w:val="281AC63E"/>
    <w:lvl w:ilvl="0" w:tplc="6B1A35E6">
      <w:start w:val="1"/>
      <w:numFmt w:val="bullet"/>
      <w:pStyle w:val="OptionalNormalIndent"/>
      <w:lvlText w:val="-"/>
      <w:lvlJc w:val="left"/>
      <w:pPr>
        <w:tabs>
          <w:tab w:val="num" w:pos="0"/>
        </w:tabs>
        <w:ind w:left="210" w:hanging="21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24F32"/>
    <w:multiLevelType w:val="hybridMultilevel"/>
    <w:tmpl w:val="F40AAF7C"/>
    <w:lvl w:ilvl="0" w:tplc="B4BE4DE0">
      <w:start w:val="1"/>
      <w:numFmt w:val="bullet"/>
      <w:pStyle w:val="Externalinde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97B1AB2"/>
    <w:multiLevelType w:val="hybridMultilevel"/>
    <w:tmpl w:val="6356485E"/>
    <w:lvl w:ilvl="0" w:tplc="A77CCF90">
      <w:start w:val="1"/>
      <w:numFmt w:val="bullet"/>
      <w:pStyle w:val="Promptindent"/>
      <w:lvlText w:val="­"/>
      <w:lvlJc w:val="left"/>
      <w:pPr>
        <w:tabs>
          <w:tab w:val="num" w:pos="21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366D3"/>
    <w:multiLevelType w:val="multilevel"/>
    <w:tmpl w:val="D5CA255C"/>
    <w:styleLink w:val="unumberedlist"/>
    <w:lvl w:ilvl="0">
      <w:start w:val="1"/>
      <w:numFmt w:val="bullet"/>
      <w:lvlText w:val=""/>
      <w:lvlJc w:val="left"/>
      <w:pPr>
        <w:ind w:left="2160" w:hanging="360"/>
      </w:pPr>
      <w:rPr>
        <w:rFonts w:ascii="Symbol" w:hAnsi="Symbol" w:hint="default"/>
      </w:rPr>
    </w:lvl>
    <w:lvl w:ilvl="1">
      <w:start w:val="1"/>
      <w:numFmt w:val="bullet"/>
      <w:lvlText w:val="o"/>
      <w:lvlJc w:val="left"/>
      <w:pPr>
        <w:ind w:left="2592" w:hanging="432"/>
      </w:pPr>
      <w:rPr>
        <w:rFonts w:ascii="Courier New" w:hAnsi="Courier New" w:hint="default"/>
      </w:rPr>
    </w:lvl>
    <w:lvl w:ilvl="2">
      <w:start w:val="1"/>
      <w:numFmt w:val="bullet"/>
      <w:lvlText w:val=""/>
      <w:lvlJc w:val="left"/>
      <w:pPr>
        <w:ind w:left="3024" w:hanging="504"/>
      </w:pPr>
      <w:rPr>
        <w:rFonts w:ascii="Symbol" w:hAnsi="Symbol" w:hint="default"/>
        <w:color w:val="auto"/>
      </w:rPr>
    </w:lvl>
    <w:lvl w:ilvl="3">
      <w:start w:val="1"/>
      <w:numFmt w:val="bullet"/>
      <w:lvlText w:val=""/>
      <w:lvlJc w:val="left"/>
      <w:pPr>
        <w:ind w:left="3528" w:hanging="648"/>
      </w:pPr>
      <w:rPr>
        <w:rFonts w:ascii="Symbol" w:hAnsi="Symbol" w:hint="default"/>
        <w:color w:val="auto"/>
      </w:rPr>
    </w:lvl>
    <w:lvl w:ilvl="4">
      <w:start w:val="1"/>
      <w:numFmt w:val="bullet"/>
      <w:lvlText w:val=""/>
      <w:lvlJc w:val="left"/>
      <w:pPr>
        <w:ind w:left="4032" w:hanging="792"/>
      </w:pPr>
      <w:rPr>
        <w:rFonts w:ascii="Symbol" w:hAnsi="Symbol" w:hint="default"/>
        <w:color w:val="auto"/>
      </w:rPr>
    </w:lvl>
    <w:lvl w:ilvl="5">
      <w:start w:val="1"/>
      <w:numFmt w:val="bullet"/>
      <w:lvlText w:val="o"/>
      <w:lvlJc w:val="left"/>
      <w:pPr>
        <w:ind w:left="4536" w:hanging="936"/>
      </w:pPr>
      <w:rPr>
        <w:rFonts w:ascii="Courier New" w:hAnsi="Courier New"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9" w15:restartNumberingAfterBreak="0">
    <w:nsid w:val="2CBC5F09"/>
    <w:multiLevelType w:val="multilevel"/>
    <w:tmpl w:val="66C4FE1C"/>
    <w:styleLink w:val="Warranty"/>
    <w:lvl w:ilvl="0">
      <w:start w:val="1"/>
      <w:numFmt w:val="decimal"/>
      <w:suff w:val="nothing"/>
      <w:lvlText w:val="Warranty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680"/>
        </w:tabs>
        <w:ind w:left="680" w:hanging="680"/>
      </w:pPr>
      <w:rPr>
        <w:rFonts w:hint="default"/>
        <w:i w:val="0"/>
        <w:color w:val="auto"/>
      </w:rPr>
    </w:lvl>
    <w:lvl w:ilvl="2">
      <w:start w:val="1"/>
      <w:numFmt w:val="lowerLetter"/>
      <w:lvlText w:val="(%3)"/>
      <w:lvlJc w:val="left"/>
      <w:pPr>
        <w:tabs>
          <w:tab w:val="num" w:pos="1361"/>
        </w:tabs>
        <w:ind w:left="1361" w:hanging="681"/>
      </w:pPr>
      <w:rPr>
        <w:rFonts w:hint="default"/>
        <w:color w:val="auto"/>
      </w:rPr>
    </w:lvl>
    <w:lvl w:ilvl="3">
      <w:start w:val="1"/>
      <w:numFmt w:val="lowerRoman"/>
      <w:lvlText w:val="(%4)"/>
      <w:lvlJc w:val="left"/>
      <w:pPr>
        <w:tabs>
          <w:tab w:val="num" w:pos="2081"/>
        </w:tabs>
        <w:ind w:left="2041" w:hanging="680"/>
      </w:pPr>
      <w:rPr>
        <w:rFonts w:hint="default"/>
        <w:color w:val="auto"/>
      </w:rPr>
    </w:lvl>
    <w:lvl w:ilvl="4">
      <w:start w:val="1"/>
      <w:numFmt w:val="upperLetter"/>
      <w:lvlText w:val="(%5)"/>
      <w:lvlJc w:val="left"/>
      <w:pPr>
        <w:tabs>
          <w:tab w:val="num" w:pos="2722"/>
        </w:tabs>
        <w:ind w:left="2722" w:hanging="681"/>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0" w15:restartNumberingAfterBreak="0">
    <w:nsid w:val="2CDB0B85"/>
    <w:multiLevelType w:val="multilevel"/>
    <w:tmpl w:val="6EB8079C"/>
    <w:lvl w:ilvl="0">
      <w:start w:val="1"/>
      <w:numFmt w:val="none"/>
      <w:pStyle w:val="Heading1"/>
      <w:suff w:val="nothing"/>
      <w:lvlText w:val=""/>
      <w:lvlJc w:val="left"/>
      <w:pPr>
        <w:ind w:left="0" w:firstLine="0"/>
      </w:pPr>
      <w:rPr>
        <w:rFonts w:hint="default"/>
      </w:rPr>
    </w:lvl>
    <w:lvl w:ilvl="1">
      <w:start w:val="1"/>
      <w:numFmt w:val="decimal"/>
      <w:pStyle w:val="Heading2"/>
      <w:lvlText w:val="%2"/>
      <w:lvlJc w:val="left"/>
      <w:pPr>
        <w:tabs>
          <w:tab w:val="num" w:pos="567"/>
        </w:tabs>
        <w:ind w:left="567" w:hanging="567"/>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lvlText w:val="%2.%3.%4"/>
      <w:lvlJc w:val="left"/>
      <w:pPr>
        <w:tabs>
          <w:tab w:val="num" w:pos="0"/>
        </w:tabs>
        <w:ind w:left="0" w:firstLine="0"/>
      </w:pPr>
      <w:rPr>
        <w:rFonts w:hint="default"/>
      </w:rPr>
    </w:lvl>
    <w:lvl w:ilvl="4">
      <w:start w:val="1"/>
      <w:numFmt w:val="decimal"/>
      <w:pStyle w:val="Heading5"/>
      <w:lvlText w:val=".%5"/>
      <w:lvlJc w:val="left"/>
      <w:pPr>
        <w:tabs>
          <w:tab w:val="num" w:pos="0"/>
        </w:tabs>
        <w:ind w:left="0" w:firstLine="0"/>
      </w:pPr>
      <w:rPr>
        <w:rFonts w:hint="default"/>
      </w:rPr>
    </w:lvl>
    <w:lvl w:ilvl="5">
      <w:start w:val="1"/>
      <w:numFmt w:val="decimal"/>
      <w:pStyle w:val="Heading6"/>
      <w:lvlText w:val=".%5.%6"/>
      <w:lvlJc w:val="left"/>
      <w:pPr>
        <w:tabs>
          <w:tab w:val="num" w:pos="0"/>
        </w:tabs>
        <w:ind w:left="0" w:firstLine="0"/>
      </w:pPr>
      <w:rPr>
        <w:rFonts w:hint="default"/>
      </w:rPr>
    </w:lvl>
    <w:lvl w:ilvl="6">
      <w:start w:val="1"/>
      <w:numFmt w:val="decimal"/>
      <w:pStyle w:val="Heading7"/>
      <w:lvlText w:val=".%5.%6.%7"/>
      <w:lvlJc w:val="left"/>
      <w:pPr>
        <w:tabs>
          <w:tab w:val="num" w:pos="0"/>
        </w:tabs>
        <w:ind w:left="0" w:firstLine="0"/>
      </w:pPr>
      <w:rPr>
        <w:rFonts w:hint="default"/>
      </w:rPr>
    </w:lvl>
    <w:lvl w:ilvl="7">
      <w:start w:val="1"/>
      <w:numFmt w:val="decimal"/>
      <w:pStyle w:val="Heading8"/>
      <w:lvlText w:val=".%5.%6.%7.%8"/>
      <w:lvlJc w:val="left"/>
      <w:pPr>
        <w:tabs>
          <w:tab w:val="num" w:pos="0"/>
        </w:tabs>
        <w:ind w:left="0" w:firstLine="0"/>
      </w:pPr>
      <w:rPr>
        <w:rFonts w:hint="default"/>
      </w:rPr>
    </w:lvl>
    <w:lvl w:ilvl="8">
      <w:start w:val="1"/>
      <w:numFmt w:val="decimal"/>
      <w:pStyle w:val="Heading9"/>
      <w:lvlText w:val=".%5.%6.%7.%8.%9"/>
      <w:lvlJc w:val="left"/>
      <w:pPr>
        <w:tabs>
          <w:tab w:val="num" w:pos="0"/>
        </w:tabs>
        <w:ind w:left="0" w:firstLine="0"/>
      </w:pPr>
      <w:rPr>
        <w:rFonts w:hint="default"/>
      </w:rPr>
    </w:lvl>
  </w:abstractNum>
  <w:abstractNum w:abstractNumId="11" w15:restartNumberingAfterBreak="0">
    <w:nsid w:val="2D93286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E0C3364"/>
    <w:multiLevelType w:val="hybridMultilevel"/>
    <w:tmpl w:val="E8A80A50"/>
    <w:lvl w:ilvl="0" w:tplc="78A02EB0">
      <w:start w:val="1"/>
      <w:numFmt w:val="bullet"/>
      <w:pStyle w:val="Tableindent2"/>
      <w:lvlText w:val="."/>
      <w:lvlJc w:val="left"/>
      <w:pPr>
        <w:tabs>
          <w:tab w:val="num" w:pos="0"/>
        </w:tabs>
        <w:ind w:left="0" w:firstLine="142"/>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382349AF"/>
    <w:multiLevelType w:val="hybridMultilevel"/>
    <w:tmpl w:val="BB4E3C96"/>
    <w:lvl w:ilvl="0" w:tplc="11EA9DCE">
      <w:numFmt w:val="bullet"/>
      <w:pStyle w:val="NormalIndent"/>
      <w:lvlText w:val="-"/>
      <w:lvlJc w:val="left"/>
      <w:pPr>
        <w:tabs>
          <w:tab w:val="num" w:pos="0"/>
        </w:tabs>
        <w:ind w:left="210" w:hanging="21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D403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61E201C"/>
    <w:multiLevelType w:val="multilevel"/>
    <w:tmpl w:val="4FC21C2E"/>
    <w:lvl w:ilvl="0">
      <w:start w:val="1"/>
      <w:numFmt w:val="none"/>
      <w:pStyle w:val="DefinitionL1"/>
      <w:suff w:val="nothing"/>
      <w:lvlText w:val=""/>
      <w:lvlJc w:val="left"/>
      <w:pPr>
        <w:ind w:left="680" w:firstLine="0"/>
      </w:pPr>
      <w:rPr>
        <w:rFonts w:hint="default"/>
      </w:rPr>
    </w:lvl>
    <w:lvl w:ilvl="1">
      <w:start w:val="1"/>
      <w:numFmt w:val="lowerLetter"/>
      <w:pStyle w:val="DefinitionL2"/>
      <w:lvlText w:val="(%2)"/>
      <w:lvlJc w:val="left"/>
      <w:pPr>
        <w:tabs>
          <w:tab w:val="num" w:pos="1361"/>
        </w:tabs>
        <w:ind w:left="1361" w:hanging="681"/>
      </w:pPr>
      <w:rPr>
        <w:rFonts w:hint="default"/>
      </w:rPr>
    </w:lvl>
    <w:lvl w:ilvl="2">
      <w:start w:val="1"/>
      <w:numFmt w:val="lowerRoman"/>
      <w:pStyle w:val="DefinitionL3"/>
      <w:lvlText w:val="(%3)"/>
      <w:lvlJc w:val="left"/>
      <w:pPr>
        <w:tabs>
          <w:tab w:val="num" w:pos="2081"/>
        </w:tabs>
        <w:ind w:left="2041" w:hanging="680"/>
      </w:pPr>
      <w:rPr>
        <w:rFonts w:hint="default"/>
      </w:rPr>
    </w:lvl>
    <w:lvl w:ilvl="3">
      <w:start w:val="1"/>
      <w:numFmt w:val="upperLetter"/>
      <w:pStyle w:val="DefinitionL4"/>
      <w:lvlText w:val="(%4)"/>
      <w:lvlJc w:val="left"/>
      <w:pPr>
        <w:tabs>
          <w:tab w:val="num" w:pos="2801"/>
        </w:tabs>
        <w:ind w:left="2801" w:hanging="680"/>
      </w:pPr>
      <w:rPr>
        <w:rFonts w:hint="default"/>
      </w:rPr>
    </w:lvl>
    <w:lvl w:ilvl="4">
      <w:start w:val="1"/>
      <w:numFmt w:val="none"/>
      <w:lvlText w:val=""/>
      <w:lvlJc w:val="left"/>
      <w:pPr>
        <w:tabs>
          <w:tab w:val="num" w:pos="360"/>
        </w:tabs>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49C676F8"/>
    <w:multiLevelType w:val="singleLevel"/>
    <w:tmpl w:val="544C4E28"/>
    <w:lvl w:ilvl="0">
      <w:start w:val="1"/>
      <w:numFmt w:val="bullet"/>
      <w:pStyle w:val="Instructionsindent"/>
      <w:lvlText w:val=""/>
      <w:lvlJc w:val="left"/>
      <w:pPr>
        <w:tabs>
          <w:tab w:val="num" w:pos="420"/>
        </w:tabs>
        <w:ind w:left="420" w:hanging="360"/>
      </w:pPr>
      <w:rPr>
        <w:rFonts w:ascii="Symbol" w:hAnsi="Symbol" w:hint="default"/>
      </w:rPr>
    </w:lvl>
  </w:abstractNum>
  <w:abstractNum w:abstractNumId="17" w15:restartNumberingAfterBreak="0">
    <w:nsid w:val="4AC478DB"/>
    <w:multiLevelType w:val="multilevel"/>
    <w:tmpl w:val="B99E73C4"/>
    <w:styleLink w:val="heading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DCE2456"/>
    <w:multiLevelType w:val="multilevel"/>
    <w:tmpl w:val="EE025064"/>
    <w:styleLink w:val="Schedule"/>
    <w:lvl w:ilvl="0">
      <w:start w:val="1"/>
      <w:numFmt w:val="decimal"/>
      <w:suff w:val="nothing"/>
      <w:lvlText w:val="Schedule %1"/>
      <w:lvlJc w:val="left"/>
      <w:pPr>
        <w:ind w:left="0" w:firstLine="0"/>
      </w:pPr>
      <w:rPr>
        <w:rFonts w:ascii="Arial" w:hAnsi="Arial" w:hint="default"/>
        <w:b w:val="0"/>
        <w:i w:val="0"/>
        <w:color w:val="auto"/>
      </w:rPr>
    </w:lvl>
    <w:lvl w:ilvl="1">
      <w:start w:val="1"/>
      <w:numFmt w:val="decimal"/>
      <w:pStyle w:val="ScheduleL2"/>
      <w:lvlText w:val="%2."/>
      <w:lvlJc w:val="left"/>
      <w:pPr>
        <w:tabs>
          <w:tab w:val="num" w:pos="680"/>
        </w:tabs>
        <w:ind w:left="680" w:hanging="680"/>
      </w:pPr>
      <w:rPr>
        <w:rFonts w:hint="default"/>
        <w:color w:val="auto"/>
      </w:rPr>
    </w:lvl>
    <w:lvl w:ilvl="2">
      <w:start w:val="1"/>
      <w:numFmt w:val="decimal"/>
      <w:lvlText w:val="%2.%3"/>
      <w:lvlJc w:val="left"/>
      <w:pPr>
        <w:tabs>
          <w:tab w:val="num" w:pos="680"/>
        </w:tabs>
        <w:ind w:left="680" w:hanging="680"/>
      </w:pPr>
      <w:rPr>
        <w:rFonts w:hint="default"/>
        <w:color w:val="auto"/>
      </w:rPr>
    </w:lvl>
    <w:lvl w:ilvl="3">
      <w:start w:val="1"/>
      <w:numFmt w:val="lowerLetter"/>
      <w:lvlText w:val="(%4)"/>
      <w:lvlJc w:val="left"/>
      <w:pPr>
        <w:tabs>
          <w:tab w:val="num" w:pos="1361"/>
        </w:tabs>
        <w:ind w:left="1361" w:hanging="681"/>
      </w:pPr>
      <w:rPr>
        <w:rFonts w:hint="default"/>
        <w:color w:val="auto"/>
      </w:rPr>
    </w:lvl>
    <w:lvl w:ilvl="4">
      <w:start w:val="1"/>
      <w:numFmt w:val="lowerRoman"/>
      <w:lvlText w:val="(%5)"/>
      <w:lvlJc w:val="left"/>
      <w:pPr>
        <w:tabs>
          <w:tab w:val="num" w:pos="2081"/>
        </w:tabs>
        <w:ind w:left="2041" w:hanging="680"/>
      </w:pPr>
      <w:rPr>
        <w:rFonts w:hint="default"/>
        <w:color w:val="auto"/>
      </w:rPr>
    </w:lvl>
    <w:lvl w:ilvl="5">
      <w:start w:val="1"/>
      <w:numFmt w:val="upperLetter"/>
      <w:lvlText w:val="(%6)"/>
      <w:lvlJc w:val="left"/>
      <w:pPr>
        <w:tabs>
          <w:tab w:val="num" w:pos="2722"/>
        </w:tabs>
        <w:ind w:left="2722" w:hanging="681"/>
      </w:pPr>
      <w:rPr>
        <w:rFonts w:hint="default"/>
      </w:rPr>
    </w:lvl>
    <w:lvl w:ilvl="6">
      <w:start w:val="1"/>
      <w:numFmt w:val="none"/>
      <w:suff w:val="nothing"/>
      <w:lvlText w:val=""/>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4FD96DE1"/>
    <w:multiLevelType w:val="singleLevel"/>
    <w:tmpl w:val="3626B9FA"/>
    <w:lvl w:ilvl="0">
      <w:numFmt w:val="bullet"/>
      <w:pStyle w:val="NormalIndent2"/>
      <w:lvlText w:val="."/>
      <w:lvlJc w:val="left"/>
      <w:pPr>
        <w:tabs>
          <w:tab w:val="num" w:pos="210"/>
        </w:tabs>
        <w:ind w:left="420" w:hanging="210"/>
      </w:pPr>
      <w:rPr>
        <w:rFonts w:ascii="Times New Roman" w:hAnsi="Times New Roman" w:cs="Times New Roman" w:hint="default"/>
      </w:rPr>
    </w:lvl>
  </w:abstractNum>
  <w:abstractNum w:abstractNumId="20" w15:restartNumberingAfterBreak="0">
    <w:nsid w:val="5F9C2265"/>
    <w:multiLevelType w:val="hybridMultilevel"/>
    <w:tmpl w:val="7A661A20"/>
    <w:lvl w:ilvl="0" w:tplc="E3CE06F6">
      <w:start w:val="1"/>
      <w:numFmt w:val="bullet"/>
      <w:pStyle w:val="Promptindent2"/>
      <w:lvlText w:val="."/>
      <w:lvlJc w:val="left"/>
      <w:pPr>
        <w:tabs>
          <w:tab w:val="num" w:pos="210"/>
        </w:tabs>
        <w:ind w:left="210" w:firstLine="0"/>
      </w:pPr>
      <w:rPr>
        <w:rFonts w:ascii="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85674E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B1420C2"/>
    <w:multiLevelType w:val="multilevel"/>
    <w:tmpl w:val="4D5C1696"/>
    <w:lvl w:ilvl="0">
      <w:start w:val="1"/>
      <w:numFmt w:val="decimal"/>
      <w:suff w:val="nothing"/>
      <w:lvlText w:val="Schedule %1"/>
      <w:lvlJc w:val="left"/>
      <w:pPr>
        <w:ind w:left="0" w:firstLine="0"/>
      </w:pPr>
      <w:rPr>
        <w:rFonts w:ascii="Arial" w:hAnsi="Arial" w:hint="default"/>
        <w:b w:val="0"/>
        <w:i w:val="0"/>
      </w:rPr>
    </w:lvl>
    <w:lvl w:ilvl="1">
      <w:start w:val="1"/>
      <w:numFmt w:val="decimal"/>
      <w:lvlText w:val="%2."/>
      <w:lvlJc w:val="left"/>
      <w:pPr>
        <w:tabs>
          <w:tab w:val="num" w:pos="680"/>
        </w:tabs>
        <w:ind w:left="680" w:hanging="680"/>
      </w:pPr>
    </w:lvl>
    <w:lvl w:ilvl="2">
      <w:start w:val="1"/>
      <w:numFmt w:val="decimal"/>
      <w:lvlText w:val="%2.%3"/>
      <w:lvlJc w:val="left"/>
      <w:pPr>
        <w:tabs>
          <w:tab w:val="num" w:pos="680"/>
        </w:tabs>
        <w:ind w:left="680" w:hanging="680"/>
      </w:pPr>
    </w:lvl>
    <w:lvl w:ilvl="3">
      <w:start w:val="1"/>
      <w:numFmt w:val="lowerLetter"/>
      <w:lvlText w:val="(%4)"/>
      <w:lvlJc w:val="left"/>
      <w:pPr>
        <w:tabs>
          <w:tab w:val="num" w:pos="1361"/>
        </w:tabs>
        <w:ind w:left="1361" w:hanging="681"/>
      </w:pPr>
    </w:lvl>
    <w:lvl w:ilvl="4">
      <w:start w:val="1"/>
      <w:numFmt w:val="lowerRoman"/>
      <w:lvlText w:val="(%5)"/>
      <w:lvlJc w:val="left"/>
      <w:pPr>
        <w:tabs>
          <w:tab w:val="num" w:pos="2081"/>
        </w:tabs>
        <w:ind w:left="2041" w:hanging="680"/>
      </w:pPr>
    </w:lvl>
    <w:lvl w:ilvl="5">
      <w:start w:val="1"/>
      <w:numFmt w:val="upperLetter"/>
      <w:lvlText w:val="(%6)"/>
      <w:lvlJc w:val="left"/>
      <w:pPr>
        <w:tabs>
          <w:tab w:val="num" w:pos="2722"/>
        </w:tabs>
        <w:ind w:left="2722" w:hanging="681"/>
      </w:pPr>
    </w:lvl>
    <w:lvl w:ilvl="6">
      <w:start w:val="1"/>
      <w:numFmt w:val="none"/>
      <w:suff w:val="nothing"/>
      <w:lvlText w:val=""/>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3" w15:restartNumberingAfterBreak="0">
    <w:nsid w:val="7710775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892461">
    <w:abstractNumId w:val="16"/>
  </w:num>
  <w:num w:numId="2" w16cid:durableId="1325474016">
    <w:abstractNumId w:val="0"/>
  </w:num>
  <w:num w:numId="3" w16cid:durableId="488135761">
    <w:abstractNumId w:val="19"/>
  </w:num>
  <w:num w:numId="4" w16cid:durableId="55982737">
    <w:abstractNumId w:val="2"/>
  </w:num>
  <w:num w:numId="5" w16cid:durableId="2124106526">
    <w:abstractNumId w:val="13"/>
  </w:num>
  <w:num w:numId="6" w16cid:durableId="810943686">
    <w:abstractNumId w:val="10"/>
  </w:num>
  <w:num w:numId="7" w16cid:durableId="520701674">
    <w:abstractNumId w:val="12"/>
  </w:num>
  <w:num w:numId="8" w16cid:durableId="262303869">
    <w:abstractNumId w:val="13"/>
  </w:num>
  <w:num w:numId="9" w16cid:durableId="2139950163">
    <w:abstractNumId w:val="7"/>
  </w:num>
  <w:num w:numId="10" w16cid:durableId="441613472">
    <w:abstractNumId w:val="20"/>
  </w:num>
  <w:num w:numId="11" w16cid:durableId="1993485217">
    <w:abstractNumId w:val="11"/>
  </w:num>
  <w:num w:numId="12" w16cid:durableId="1661814440">
    <w:abstractNumId w:val="23"/>
  </w:num>
  <w:num w:numId="13" w16cid:durableId="137840434">
    <w:abstractNumId w:val="14"/>
  </w:num>
  <w:num w:numId="14" w16cid:durableId="972826673">
    <w:abstractNumId w:val="21"/>
  </w:num>
  <w:num w:numId="15" w16cid:durableId="697849390">
    <w:abstractNumId w:val="7"/>
  </w:num>
  <w:num w:numId="16" w16cid:durableId="1060250337">
    <w:abstractNumId w:val="20"/>
  </w:num>
  <w:num w:numId="17" w16cid:durableId="361790403">
    <w:abstractNumId w:val="7"/>
  </w:num>
  <w:num w:numId="18" w16cid:durableId="2115785992">
    <w:abstractNumId w:val="0"/>
  </w:num>
  <w:num w:numId="19" w16cid:durableId="1371144922">
    <w:abstractNumId w:val="0"/>
  </w:num>
  <w:num w:numId="20" w16cid:durableId="2107725022">
    <w:abstractNumId w:val="7"/>
  </w:num>
  <w:num w:numId="21" w16cid:durableId="91053962">
    <w:abstractNumId w:val="10"/>
  </w:num>
  <w:num w:numId="22" w16cid:durableId="213395658">
    <w:abstractNumId w:val="13"/>
  </w:num>
  <w:num w:numId="23" w16cid:durableId="1369145269">
    <w:abstractNumId w:val="13"/>
  </w:num>
  <w:num w:numId="24" w16cid:durableId="1145010149">
    <w:abstractNumId w:val="5"/>
  </w:num>
  <w:num w:numId="25" w16cid:durableId="346179978">
    <w:abstractNumId w:val="5"/>
  </w:num>
  <w:num w:numId="26" w16cid:durableId="1735084580">
    <w:abstractNumId w:val="7"/>
  </w:num>
  <w:num w:numId="27" w16cid:durableId="542328729">
    <w:abstractNumId w:val="7"/>
  </w:num>
  <w:num w:numId="28" w16cid:durableId="1898935619">
    <w:abstractNumId w:val="5"/>
  </w:num>
  <w:num w:numId="29" w16cid:durableId="205265058">
    <w:abstractNumId w:val="5"/>
  </w:num>
  <w:num w:numId="30" w16cid:durableId="432744296">
    <w:abstractNumId w:val="5"/>
  </w:num>
  <w:num w:numId="31" w16cid:durableId="177697604">
    <w:abstractNumId w:val="19"/>
  </w:num>
  <w:num w:numId="32" w16cid:durableId="1277759770">
    <w:abstractNumId w:val="3"/>
  </w:num>
  <w:num w:numId="33" w16cid:durableId="339506406">
    <w:abstractNumId w:val="22"/>
  </w:num>
  <w:num w:numId="34" w16cid:durableId="1640529689">
    <w:abstractNumId w:val="1"/>
  </w:num>
  <w:num w:numId="35" w16cid:durableId="1245840321">
    <w:abstractNumId w:val="15"/>
  </w:num>
  <w:num w:numId="36" w16cid:durableId="1078479281">
    <w:abstractNumId w:val="18"/>
  </w:num>
  <w:num w:numId="37" w16cid:durableId="917441045">
    <w:abstractNumId w:val="9"/>
  </w:num>
  <w:num w:numId="38" w16cid:durableId="1147864533">
    <w:abstractNumId w:val="17"/>
  </w:num>
  <w:num w:numId="39" w16cid:durableId="400063501">
    <w:abstractNumId w:val="4"/>
  </w:num>
  <w:num w:numId="40" w16cid:durableId="1397433464">
    <w:abstractNumId w:val="8"/>
  </w:num>
  <w:num w:numId="41" w16cid:durableId="489754982">
    <w:abstractNumId w:val="6"/>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100"/>
  <w:printFractionalCharacterWidth/>
  <w:hideGrammaticalErrors/>
  <w:activeWritingStyle w:appName="MSWord" w:lang="en-AU" w:vendorID="8" w:dllVersion="513"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E80"/>
    <w:rsid w:val="00000C09"/>
    <w:rsid w:val="0001492A"/>
    <w:rsid w:val="00015027"/>
    <w:rsid w:val="00026580"/>
    <w:rsid w:val="000306BA"/>
    <w:rsid w:val="00033740"/>
    <w:rsid w:val="0003482B"/>
    <w:rsid w:val="00035D60"/>
    <w:rsid w:val="0004192B"/>
    <w:rsid w:val="00043817"/>
    <w:rsid w:val="000525FE"/>
    <w:rsid w:val="00054110"/>
    <w:rsid w:val="00070729"/>
    <w:rsid w:val="00076042"/>
    <w:rsid w:val="00093056"/>
    <w:rsid w:val="000A6053"/>
    <w:rsid w:val="000B0F8F"/>
    <w:rsid w:val="000B3AFA"/>
    <w:rsid w:val="000C383C"/>
    <w:rsid w:val="000C4FF0"/>
    <w:rsid w:val="000D747D"/>
    <w:rsid w:val="000E037C"/>
    <w:rsid w:val="0010551F"/>
    <w:rsid w:val="00113C6F"/>
    <w:rsid w:val="00114AF8"/>
    <w:rsid w:val="0012143A"/>
    <w:rsid w:val="001452D0"/>
    <w:rsid w:val="00147FF6"/>
    <w:rsid w:val="00152A1C"/>
    <w:rsid w:val="00154A03"/>
    <w:rsid w:val="00164FFE"/>
    <w:rsid w:val="00165935"/>
    <w:rsid w:val="0017191C"/>
    <w:rsid w:val="00173F6D"/>
    <w:rsid w:val="00183A47"/>
    <w:rsid w:val="001933EE"/>
    <w:rsid w:val="00195012"/>
    <w:rsid w:val="001975D7"/>
    <w:rsid w:val="001A2F52"/>
    <w:rsid w:val="001C1983"/>
    <w:rsid w:val="001C2051"/>
    <w:rsid w:val="001C69A9"/>
    <w:rsid w:val="001D5D6B"/>
    <w:rsid w:val="001E3722"/>
    <w:rsid w:val="001E5C94"/>
    <w:rsid w:val="001F3B8D"/>
    <w:rsid w:val="00211DCB"/>
    <w:rsid w:val="00216F04"/>
    <w:rsid w:val="00221F32"/>
    <w:rsid w:val="0025068A"/>
    <w:rsid w:val="00265A15"/>
    <w:rsid w:val="0026671C"/>
    <w:rsid w:val="002721D7"/>
    <w:rsid w:val="002A20C2"/>
    <w:rsid w:val="002B4035"/>
    <w:rsid w:val="002B4CBB"/>
    <w:rsid w:val="002D75AD"/>
    <w:rsid w:val="003042D9"/>
    <w:rsid w:val="00332487"/>
    <w:rsid w:val="00346171"/>
    <w:rsid w:val="00346453"/>
    <w:rsid w:val="003465CA"/>
    <w:rsid w:val="003634A4"/>
    <w:rsid w:val="00367FDF"/>
    <w:rsid w:val="003704FE"/>
    <w:rsid w:val="00377499"/>
    <w:rsid w:val="003806E9"/>
    <w:rsid w:val="00385556"/>
    <w:rsid w:val="00385DD3"/>
    <w:rsid w:val="00391E4E"/>
    <w:rsid w:val="00395E07"/>
    <w:rsid w:val="00396C95"/>
    <w:rsid w:val="003A3A44"/>
    <w:rsid w:val="003A75D3"/>
    <w:rsid w:val="003D6832"/>
    <w:rsid w:val="003E4528"/>
    <w:rsid w:val="003E5ED2"/>
    <w:rsid w:val="003F10B8"/>
    <w:rsid w:val="004063DD"/>
    <w:rsid w:val="00406801"/>
    <w:rsid w:val="004147FD"/>
    <w:rsid w:val="00420ABA"/>
    <w:rsid w:val="0044474C"/>
    <w:rsid w:val="004463CE"/>
    <w:rsid w:val="0045251F"/>
    <w:rsid w:val="00471E80"/>
    <w:rsid w:val="004800E4"/>
    <w:rsid w:val="0049254F"/>
    <w:rsid w:val="00493FBB"/>
    <w:rsid w:val="004A1C7A"/>
    <w:rsid w:val="004B7490"/>
    <w:rsid w:val="004C00F9"/>
    <w:rsid w:val="004D3577"/>
    <w:rsid w:val="004E779E"/>
    <w:rsid w:val="00500AF2"/>
    <w:rsid w:val="0050389A"/>
    <w:rsid w:val="005163BB"/>
    <w:rsid w:val="00517F32"/>
    <w:rsid w:val="00550729"/>
    <w:rsid w:val="005510E4"/>
    <w:rsid w:val="005532A9"/>
    <w:rsid w:val="005615AA"/>
    <w:rsid w:val="0056684B"/>
    <w:rsid w:val="0057003C"/>
    <w:rsid w:val="00584ECB"/>
    <w:rsid w:val="00593B01"/>
    <w:rsid w:val="005C3403"/>
    <w:rsid w:val="005C633A"/>
    <w:rsid w:val="005D3BE6"/>
    <w:rsid w:val="005D4279"/>
    <w:rsid w:val="005E5B1E"/>
    <w:rsid w:val="005F0B9C"/>
    <w:rsid w:val="005F518F"/>
    <w:rsid w:val="005F6053"/>
    <w:rsid w:val="005F6D32"/>
    <w:rsid w:val="006061C5"/>
    <w:rsid w:val="006142B1"/>
    <w:rsid w:val="00635776"/>
    <w:rsid w:val="00655106"/>
    <w:rsid w:val="00655AC6"/>
    <w:rsid w:val="00655EED"/>
    <w:rsid w:val="006567D2"/>
    <w:rsid w:val="00663CEC"/>
    <w:rsid w:val="00666930"/>
    <w:rsid w:val="00667CD7"/>
    <w:rsid w:val="00682A41"/>
    <w:rsid w:val="006952CA"/>
    <w:rsid w:val="00695855"/>
    <w:rsid w:val="00695A40"/>
    <w:rsid w:val="006A05B6"/>
    <w:rsid w:val="006A7576"/>
    <w:rsid w:val="006B258D"/>
    <w:rsid w:val="006B35CB"/>
    <w:rsid w:val="006D4AE8"/>
    <w:rsid w:val="006E6D2A"/>
    <w:rsid w:val="006F4B89"/>
    <w:rsid w:val="006F73BB"/>
    <w:rsid w:val="0074575A"/>
    <w:rsid w:val="0074728C"/>
    <w:rsid w:val="00750BC6"/>
    <w:rsid w:val="007533D6"/>
    <w:rsid w:val="007551B5"/>
    <w:rsid w:val="00755CB6"/>
    <w:rsid w:val="00756783"/>
    <w:rsid w:val="007620F4"/>
    <w:rsid w:val="00776C7E"/>
    <w:rsid w:val="007B2C8C"/>
    <w:rsid w:val="007F566F"/>
    <w:rsid w:val="00816A88"/>
    <w:rsid w:val="0082407F"/>
    <w:rsid w:val="00830CA9"/>
    <w:rsid w:val="00832630"/>
    <w:rsid w:val="00835E8B"/>
    <w:rsid w:val="0083645C"/>
    <w:rsid w:val="008553FC"/>
    <w:rsid w:val="0086261B"/>
    <w:rsid w:val="00865883"/>
    <w:rsid w:val="00876920"/>
    <w:rsid w:val="008778AF"/>
    <w:rsid w:val="00886FFF"/>
    <w:rsid w:val="00887CFB"/>
    <w:rsid w:val="00892683"/>
    <w:rsid w:val="008940F8"/>
    <w:rsid w:val="00895922"/>
    <w:rsid w:val="008A25E0"/>
    <w:rsid w:val="008A6782"/>
    <w:rsid w:val="008B3753"/>
    <w:rsid w:val="008B4584"/>
    <w:rsid w:val="008B6CA3"/>
    <w:rsid w:val="008C18F5"/>
    <w:rsid w:val="008D400B"/>
    <w:rsid w:val="008D57D7"/>
    <w:rsid w:val="008D6870"/>
    <w:rsid w:val="008D68B9"/>
    <w:rsid w:val="008E557E"/>
    <w:rsid w:val="008E5DCD"/>
    <w:rsid w:val="008E799C"/>
    <w:rsid w:val="008F4C7D"/>
    <w:rsid w:val="008F690E"/>
    <w:rsid w:val="00913BCC"/>
    <w:rsid w:val="0091448E"/>
    <w:rsid w:val="00922113"/>
    <w:rsid w:val="009244B7"/>
    <w:rsid w:val="00925AE9"/>
    <w:rsid w:val="00933963"/>
    <w:rsid w:val="00944DD7"/>
    <w:rsid w:val="00957D09"/>
    <w:rsid w:val="00963298"/>
    <w:rsid w:val="00976C87"/>
    <w:rsid w:val="009772C2"/>
    <w:rsid w:val="00980774"/>
    <w:rsid w:val="00984422"/>
    <w:rsid w:val="0099258F"/>
    <w:rsid w:val="009A42D8"/>
    <w:rsid w:val="009B118F"/>
    <w:rsid w:val="009B1E9A"/>
    <w:rsid w:val="009B2FE5"/>
    <w:rsid w:val="009C0EFD"/>
    <w:rsid w:val="009C37B7"/>
    <w:rsid w:val="009C46D5"/>
    <w:rsid w:val="009D223F"/>
    <w:rsid w:val="00A05402"/>
    <w:rsid w:val="00A06CD8"/>
    <w:rsid w:val="00A1077B"/>
    <w:rsid w:val="00A16ECB"/>
    <w:rsid w:val="00A341D1"/>
    <w:rsid w:val="00A41850"/>
    <w:rsid w:val="00A6597C"/>
    <w:rsid w:val="00A8763C"/>
    <w:rsid w:val="00AB5BE3"/>
    <w:rsid w:val="00AC2163"/>
    <w:rsid w:val="00AC63A8"/>
    <w:rsid w:val="00AD0420"/>
    <w:rsid w:val="00AD5EAE"/>
    <w:rsid w:val="00AD7204"/>
    <w:rsid w:val="00AD748D"/>
    <w:rsid w:val="00AD7B04"/>
    <w:rsid w:val="00B029FB"/>
    <w:rsid w:val="00B24A40"/>
    <w:rsid w:val="00B2589F"/>
    <w:rsid w:val="00B271F3"/>
    <w:rsid w:val="00B40134"/>
    <w:rsid w:val="00B50F70"/>
    <w:rsid w:val="00B63C93"/>
    <w:rsid w:val="00B74727"/>
    <w:rsid w:val="00B83403"/>
    <w:rsid w:val="00B847BE"/>
    <w:rsid w:val="00B87EA6"/>
    <w:rsid w:val="00B906AF"/>
    <w:rsid w:val="00B91145"/>
    <w:rsid w:val="00B923BF"/>
    <w:rsid w:val="00BA509B"/>
    <w:rsid w:val="00BB3C2D"/>
    <w:rsid w:val="00BC4DEA"/>
    <w:rsid w:val="00BD47DE"/>
    <w:rsid w:val="00BE0DB0"/>
    <w:rsid w:val="00BE188B"/>
    <w:rsid w:val="00BF08E7"/>
    <w:rsid w:val="00BF35F9"/>
    <w:rsid w:val="00BF7065"/>
    <w:rsid w:val="00C10EF1"/>
    <w:rsid w:val="00C244ED"/>
    <w:rsid w:val="00C425FE"/>
    <w:rsid w:val="00C42FA6"/>
    <w:rsid w:val="00C44B56"/>
    <w:rsid w:val="00C4619E"/>
    <w:rsid w:val="00C652CE"/>
    <w:rsid w:val="00C72A30"/>
    <w:rsid w:val="00C76D43"/>
    <w:rsid w:val="00C77413"/>
    <w:rsid w:val="00C97CE5"/>
    <w:rsid w:val="00CB2EEF"/>
    <w:rsid w:val="00CB6139"/>
    <w:rsid w:val="00CB724D"/>
    <w:rsid w:val="00CE7DE6"/>
    <w:rsid w:val="00CF1B97"/>
    <w:rsid w:val="00D16B76"/>
    <w:rsid w:val="00D245D6"/>
    <w:rsid w:val="00D3270C"/>
    <w:rsid w:val="00D56651"/>
    <w:rsid w:val="00D61628"/>
    <w:rsid w:val="00D65B75"/>
    <w:rsid w:val="00D7123E"/>
    <w:rsid w:val="00D73A02"/>
    <w:rsid w:val="00D828A1"/>
    <w:rsid w:val="00D9043E"/>
    <w:rsid w:val="00D90768"/>
    <w:rsid w:val="00D917E7"/>
    <w:rsid w:val="00D92D4A"/>
    <w:rsid w:val="00D92F68"/>
    <w:rsid w:val="00D942AF"/>
    <w:rsid w:val="00DA00B9"/>
    <w:rsid w:val="00DA24A3"/>
    <w:rsid w:val="00DA6AE7"/>
    <w:rsid w:val="00DB53E4"/>
    <w:rsid w:val="00DD4268"/>
    <w:rsid w:val="00DD63AB"/>
    <w:rsid w:val="00DF27D6"/>
    <w:rsid w:val="00DF2B7E"/>
    <w:rsid w:val="00E001C9"/>
    <w:rsid w:val="00E025CF"/>
    <w:rsid w:val="00E2019B"/>
    <w:rsid w:val="00E22D6F"/>
    <w:rsid w:val="00E23FDE"/>
    <w:rsid w:val="00E34F94"/>
    <w:rsid w:val="00E4394A"/>
    <w:rsid w:val="00E47286"/>
    <w:rsid w:val="00E56438"/>
    <w:rsid w:val="00E56E5F"/>
    <w:rsid w:val="00E57BAC"/>
    <w:rsid w:val="00E60190"/>
    <w:rsid w:val="00E66049"/>
    <w:rsid w:val="00E7425A"/>
    <w:rsid w:val="00E913B7"/>
    <w:rsid w:val="00E951A6"/>
    <w:rsid w:val="00EA1E44"/>
    <w:rsid w:val="00EA2177"/>
    <w:rsid w:val="00EA238D"/>
    <w:rsid w:val="00EA3934"/>
    <w:rsid w:val="00EA3CD1"/>
    <w:rsid w:val="00EB2216"/>
    <w:rsid w:val="00EB2658"/>
    <w:rsid w:val="00EB335E"/>
    <w:rsid w:val="00EC064B"/>
    <w:rsid w:val="00EC2270"/>
    <w:rsid w:val="00EC7115"/>
    <w:rsid w:val="00ED3BC2"/>
    <w:rsid w:val="00ED470A"/>
    <w:rsid w:val="00ED4C52"/>
    <w:rsid w:val="00EE451D"/>
    <w:rsid w:val="00EF4C41"/>
    <w:rsid w:val="00F01B14"/>
    <w:rsid w:val="00F06734"/>
    <w:rsid w:val="00F07C78"/>
    <w:rsid w:val="00F149C3"/>
    <w:rsid w:val="00F20FCF"/>
    <w:rsid w:val="00F22960"/>
    <w:rsid w:val="00F415BD"/>
    <w:rsid w:val="00F52012"/>
    <w:rsid w:val="00F569CD"/>
    <w:rsid w:val="00F57EA1"/>
    <w:rsid w:val="00F60467"/>
    <w:rsid w:val="00F622A9"/>
    <w:rsid w:val="00F806AE"/>
    <w:rsid w:val="00F809E4"/>
    <w:rsid w:val="00F840CF"/>
    <w:rsid w:val="00FA082F"/>
    <w:rsid w:val="00FA520F"/>
    <w:rsid w:val="00FD337D"/>
    <w:rsid w:val="00FF00DA"/>
    <w:rsid w:val="00FF5A56"/>
    <w:rsid w:val="00FF5F9B"/>
    <w:rsid w:val="00FF71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D5AD1"/>
  <w15:docId w15:val="{F0059508-8643-442E-AA72-EED4F2F8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C2D"/>
    <w:pPr>
      <w:tabs>
        <w:tab w:val="left" w:pos="3969"/>
      </w:tabs>
      <w:spacing w:after="60"/>
    </w:pPr>
    <w:rPr>
      <w:rFonts w:ascii="Arial" w:hAnsi="Arial"/>
      <w:lang w:eastAsia="en-US"/>
    </w:rPr>
  </w:style>
  <w:style w:type="paragraph" w:styleId="Heading1">
    <w:name w:val="heading 1"/>
    <w:next w:val="Heading2"/>
    <w:qFormat/>
    <w:rsid w:val="00BB3C2D"/>
    <w:pPr>
      <w:keepNext/>
      <w:numPr>
        <w:numId w:val="6"/>
      </w:numPr>
      <w:pBdr>
        <w:top w:val="single" w:sz="6" w:space="1" w:color="auto"/>
        <w:left w:val="single" w:sz="6" w:space="1" w:color="auto"/>
        <w:bottom w:val="single" w:sz="6" w:space="1" w:color="auto"/>
        <w:right w:val="single" w:sz="6" w:space="1" w:color="auto"/>
      </w:pBdr>
      <w:tabs>
        <w:tab w:val="right" w:pos="7655"/>
      </w:tabs>
      <w:spacing w:after="600"/>
      <w:outlineLvl w:val="0"/>
    </w:pPr>
    <w:rPr>
      <w:rFonts w:ascii="Arial" w:hAnsi="Arial"/>
      <w:b/>
      <w:caps/>
      <w:lang w:eastAsia="en-US"/>
    </w:rPr>
  </w:style>
  <w:style w:type="paragraph" w:styleId="Heading2">
    <w:name w:val="heading 2"/>
    <w:next w:val="Normal"/>
    <w:qFormat/>
    <w:rsid w:val="00BB3C2D"/>
    <w:pPr>
      <w:keepNext/>
      <w:numPr>
        <w:ilvl w:val="1"/>
        <w:numId w:val="6"/>
      </w:numPr>
      <w:pBdr>
        <w:bottom w:val="single" w:sz="6" w:space="1" w:color="auto"/>
      </w:pBdr>
      <w:spacing w:before="240" w:after="240"/>
      <w:outlineLvl w:val="1"/>
    </w:pPr>
    <w:rPr>
      <w:rFonts w:ascii="Arial" w:hAnsi="Arial"/>
      <w:b/>
      <w:caps/>
      <w:lang w:eastAsia="en-US"/>
    </w:rPr>
  </w:style>
  <w:style w:type="paragraph" w:styleId="Heading3">
    <w:name w:val="heading 3"/>
    <w:qFormat/>
    <w:rsid w:val="00BB3C2D"/>
    <w:pPr>
      <w:keepNext/>
      <w:numPr>
        <w:ilvl w:val="2"/>
        <w:numId w:val="6"/>
      </w:numPr>
      <w:spacing w:before="120" w:after="120"/>
      <w:outlineLvl w:val="2"/>
    </w:pPr>
    <w:rPr>
      <w:rFonts w:ascii="Arial" w:hAnsi="Arial"/>
      <w:b/>
      <w:caps/>
      <w:snapToGrid w:val="0"/>
      <w:lang w:eastAsia="en-US"/>
    </w:rPr>
  </w:style>
  <w:style w:type="paragraph" w:styleId="Heading4">
    <w:name w:val="heading 4"/>
    <w:next w:val="Normal"/>
    <w:qFormat/>
    <w:rsid w:val="00BB3C2D"/>
    <w:pPr>
      <w:keepNext/>
      <w:tabs>
        <w:tab w:val="left" w:pos="567"/>
        <w:tab w:val="left" w:pos="3969"/>
      </w:tabs>
      <w:spacing w:after="20"/>
      <w:outlineLvl w:val="3"/>
    </w:pPr>
    <w:rPr>
      <w:rFonts w:ascii="Arial" w:hAnsi="Arial"/>
      <w:b/>
      <w:lang w:eastAsia="en-US"/>
    </w:rPr>
  </w:style>
  <w:style w:type="paragraph" w:styleId="Heading5">
    <w:name w:val="heading 5"/>
    <w:basedOn w:val="Normal"/>
    <w:next w:val="Normal"/>
    <w:qFormat/>
    <w:rsid w:val="00BB3C2D"/>
    <w:pPr>
      <w:numPr>
        <w:ilvl w:val="4"/>
        <w:numId w:val="6"/>
      </w:numPr>
      <w:spacing w:before="240"/>
      <w:outlineLvl w:val="4"/>
    </w:pPr>
    <w:rPr>
      <w:sz w:val="22"/>
    </w:rPr>
  </w:style>
  <w:style w:type="paragraph" w:styleId="Heading6">
    <w:name w:val="heading 6"/>
    <w:basedOn w:val="Normal"/>
    <w:next w:val="Normal"/>
    <w:qFormat/>
    <w:rsid w:val="00BB3C2D"/>
    <w:pPr>
      <w:numPr>
        <w:ilvl w:val="5"/>
        <w:numId w:val="6"/>
      </w:numPr>
      <w:spacing w:before="240"/>
      <w:outlineLvl w:val="5"/>
    </w:pPr>
    <w:rPr>
      <w:i/>
      <w:sz w:val="22"/>
    </w:rPr>
  </w:style>
  <w:style w:type="paragraph" w:styleId="Heading7">
    <w:name w:val="heading 7"/>
    <w:basedOn w:val="Normal"/>
    <w:next w:val="Normal"/>
    <w:qFormat/>
    <w:rsid w:val="00BB3C2D"/>
    <w:pPr>
      <w:numPr>
        <w:ilvl w:val="6"/>
        <w:numId w:val="6"/>
      </w:numPr>
      <w:spacing w:before="240"/>
      <w:outlineLvl w:val="6"/>
    </w:pPr>
  </w:style>
  <w:style w:type="paragraph" w:styleId="Heading8">
    <w:name w:val="heading 8"/>
    <w:basedOn w:val="Normal"/>
    <w:next w:val="Normal"/>
    <w:qFormat/>
    <w:rsid w:val="00BB3C2D"/>
    <w:pPr>
      <w:numPr>
        <w:ilvl w:val="7"/>
        <w:numId w:val="6"/>
      </w:numPr>
      <w:spacing w:before="240"/>
      <w:outlineLvl w:val="7"/>
    </w:pPr>
    <w:rPr>
      <w:i/>
    </w:rPr>
  </w:style>
  <w:style w:type="paragraph" w:styleId="Heading9">
    <w:name w:val="heading 9"/>
    <w:basedOn w:val="Normal"/>
    <w:next w:val="Normal"/>
    <w:qFormat/>
    <w:rsid w:val="00BB3C2D"/>
    <w:pPr>
      <w:numPr>
        <w:ilvl w:val="8"/>
        <w:numId w:val="6"/>
      </w:numPr>
      <w:spacing w:before="240"/>
      <w:outlineLvl w:val="8"/>
    </w:pPr>
    <w:rPr>
      <w:i/>
    </w:rPr>
  </w:style>
  <w:style w:type="character" w:default="1" w:styleId="DefaultParagraphFont">
    <w:name w:val="Default Paragraph Font"/>
    <w:uiPriority w:val="1"/>
    <w:semiHidden/>
    <w:unhideWhenUsed/>
    <w:rsid w:val="00BB3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2D"/>
  </w:style>
  <w:style w:type="paragraph" w:styleId="Footer">
    <w:name w:val="footer"/>
    <w:rsid w:val="00BB3C2D"/>
    <w:pPr>
      <w:tabs>
        <w:tab w:val="center" w:pos="4536"/>
        <w:tab w:val="right" w:pos="9072"/>
      </w:tabs>
    </w:pPr>
    <w:rPr>
      <w:rFonts w:ascii="Arial" w:hAnsi="Arial"/>
      <w:i/>
      <w:sz w:val="16"/>
      <w:szCs w:val="16"/>
      <w:lang w:eastAsia="en-US"/>
    </w:rPr>
  </w:style>
  <w:style w:type="paragraph" w:styleId="Header">
    <w:name w:val="header"/>
    <w:rsid w:val="00BB3C2D"/>
    <w:pPr>
      <w:pBdr>
        <w:bottom w:val="single" w:sz="6" w:space="4" w:color="auto"/>
      </w:pBdr>
      <w:tabs>
        <w:tab w:val="right" w:pos="9072"/>
      </w:tabs>
      <w:spacing w:after="200"/>
    </w:pPr>
    <w:rPr>
      <w:rFonts w:ascii="Arial" w:hAnsi="Arial"/>
      <w:b/>
      <w:i/>
      <w:lang w:eastAsia="en-US"/>
    </w:rPr>
  </w:style>
  <w:style w:type="paragraph" w:styleId="NormalIndent">
    <w:name w:val="Normal Indent"/>
    <w:rsid w:val="00BB3C2D"/>
    <w:pPr>
      <w:numPr>
        <w:numId w:val="5"/>
      </w:numPr>
      <w:tabs>
        <w:tab w:val="left" w:pos="210"/>
        <w:tab w:val="left" w:pos="3969"/>
      </w:tabs>
      <w:spacing w:after="60"/>
    </w:pPr>
    <w:rPr>
      <w:rFonts w:ascii="Arial" w:hAnsi="Arial"/>
      <w:lang w:eastAsia="en-US"/>
    </w:rPr>
  </w:style>
  <w:style w:type="paragraph" w:customStyle="1" w:styleId="Tabletext">
    <w:name w:val="Table text"/>
    <w:rsid w:val="00BB3C2D"/>
    <w:rPr>
      <w:rFonts w:ascii="Arial" w:hAnsi="Arial"/>
      <w:lang w:eastAsia="en-US"/>
    </w:rPr>
  </w:style>
  <w:style w:type="paragraph" w:customStyle="1" w:styleId="Tabletitle">
    <w:name w:val="Table title"/>
    <w:rsid w:val="00BB3C2D"/>
    <w:rPr>
      <w:rFonts w:ascii="Arial" w:hAnsi="Arial"/>
      <w:b/>
      <w:lang w:eastAsia="en-US"/>
    </w:rPr>
  </w:style>
  <w:style w:type="paragraph" w:customStyle="1" w:styleId="Tableindent">
    <w:name w:val="Table indent"/>
    <w:rsid w:val="00BB3C2D"/>
    <w:pPr>
      <w:numPr>
        <w:numId w:val="4"/>
      </w:numPr>
      <w:tabs>
        <w:tab w:val="left" w:pos="85"/>
      </w:tabs>
    </w:pPr>
    <w:rPr>
      <w:rFonts w:ascii="Arial" w:hAnsi="Arial"/>
      <w:lang w:eastAsia="en-US"/>
    </w:rPr>
  </w:style>
  <w:style w:type="paragraph" w:customStyle="1" w:styleId="NormalIndent2">
    <w:name w:val="Normal Indent 2"/>
    <w:rsid w:val="00BB3C2D"/>
    <w:pPr>
      <w:numPr>
        <w:numId w:val="3"/>
      </w:numPr>
      <w:tabs>
        <w:tab w:val="left" w:pos="420"/>
        <w:tab w:val="left" w:pos="3969"/>
      </w:tabs>
      <w:spacing w:after="60"/>
    </w:pPr>
    <w:rPr>
      <w:rFonts w:ascii="Arial" w:hAnsi="Arial"/>
      <w:lang w:eastAsia="en-US"/>
    </w:rPr>
  </w:style>
  <w:style w:type="paragraph" w:customStyle="1" w:styleId="NormalIndent3">
    <w:name w:val="Normal Indent 3"/>
    <w:rsid w:val="00BB3C2D"/>
    <w:pPr>
      <w:numPr>
        <w:numId w:val="2"/>
      </w:numPr>
      <w:tabs>
        <w:tab w:val="left" w:pos="420"/>
      </w:tabs>
      <w:spacing w:after="60"/>
    </w:pPr>
    <w:rPr>
      <w:rFonts w:ascii="Arial" w:hAnsi="Arial"/>
      <w:lang w:eastAsia="en-US"/>
    </w:rPr>
  </w:style>
  <w:style w:type="character" w:styleId="Hyperlink">
    <w:name w:val="Hyperlink"/>
    <w:rsid w:val="00BB3C2D"/>
    <w:rPr>
      <w:color w:val="0000FF"/>
      <w:u w:val="none"/>
      <w:bdr w:val="none" w:sz="0" w:space="0" w:color="auto"/>
    </w:rPr>
  </w:style>
  <w:style w:type="paragraph" w:customStyle="1" w:styleId="Guidancetabletext">
    <w:name w:val="Guidance table text"/>
    <w:basedOn w:val="Instructions"/>
    <w:rsid w:val="00BB3C2D"/>
    <w:pPr>
      <w:pBdr>
        <w:top w:val="none" w:sz="0" w:space="0" w:color="auto"/>
        <w:left w:val="none" w:sz="0" w:space="0" w:color="auto"/>
        <w:bottom w:val="none" w:sz="0" w:space="0" w:color="auto"/>
        <w:right w:val="none" w:sz="0" w:space="0" w:color="auto"/>
      </w:pBdr>
      <w:spacing w:after="0" w:line="240" w:lineRule="auto"/>
    </w:pPr>
    <w:rPr>
      <w:szCs w:val="16"/>
    </w:rPr>
  </w:style>
  <w:style w:type="character" w:customStyle="1" w:styleId="Bold">
    <w:name w:val="Bold"/>
    <w:rsid w:val="00BB3C2D"/>
    <w:rPr>
      <w:b/>
      <w:bCs/>
    </w:rPr>
  </w:style>
  <w:style w:type="character" w:customStyle="1" w:styleId="Italic">
    <w:name w:val="Italic"/>
    <w:rsid w:val="00BB3C2D"/>
    <w:rPr>
      <w:i/>
      <w:iCs/>
    </w:rPr>
  </w:style>
  <w:style w:type="character" w:customStyle="1" w:styleId="Symbol">
    <w:name w:val="Symbol"/>
    <w:rsid w:val="00BB3C2D"/>
    <w:rPr>
      <w:rFonts w:ascii="Symbol" w:hAnsi="Symbol"/>
    </w:rPr>
  </w:style>
  <w:style w:type="paragraph" w:customStyle="1" w:styleId="Instructions">
    <w:name w:val="Instructions"/>
    <w:basedOn w:val="Normal"/>
    <w:rsid w:val="00BB3C2D"/>
    <w:pPr>
      <w:pBdr>
        <w:top w:val="single" w:sz="4" w:space="1" w:color="auto"/>
        <w:left w:val="single" w:sz="4" w:space="4" w:color="auto"/>
        <w:bottom w:val="single" w:sz="4" w:space="1" w:color="auto"/>
        <w:right w:val="single" w:sz="4" w:space="4" w:color="auto"/>
      </w:pBdr>
      <w:spacing w:line="220" w:lineRule="exact"/>
    </w:pPr>
    <w:rPr>
      <w:vanish/>
      <w:color w:val="008000"/>
      <w:sz w:val="16"/>
    </w:rPr>
  </w:style>
  <w:style w:type="paragraph" w:customStyle="1" w:styleId="Instructionsindent">
    <w:name w:val="Instructions indent"/>
    <w:rsid w:val="00BB3C2D"/>
    <w:pPr>
      <w:numPr>
        <w:numId w:val="1"/>
      </w:numPr>
      <w:pBdr>
        <w:top w:val="single" w:sz="4" w:space="1" w:color="auto"/>
        <w:left w:val="single" w:sz="4" w:space="4" w:color="auto"/>
        <w:bottom w:val="single" w:sz="4" w:space="1" w:color="auto"/>
        <w:right w:val="single" w:sz="4" w:space="4" w:color="auto"/>
      </w:pBdr>
      <w:tabs>
        <w:tab w:val="left" w:pos="357"/>
      </w:tabs>
      <w:spacing w:after="60" w:line="220" w:lineRule="exact"/>
      <w:ind w:left="357" w:hanging="357"/>
    </w:pPr>
    <w:rPr>
      <w:rFonts w:ascii="Arial" w:hAnsi="Arial"/>
      <w:vanish/>
      <w:color w:val="008000"/>
      <w:sz w:val="16"/>
      <w:szCs w:val="16"/>
      <w:lang w:eastAsia="en-US"/>
    </w:rPr>
  </w:style>
  <w:style w:type="table" w:customStyle="1" w:styleId="NATSPECTable">
    <w:name w:val="NATSPEC Table"/>
    <w:basedOn w:val="TableNormal"/>
    <w:rsid w:val="00BB3C2D"/>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40" w:type="dxa"/>
        <w:bottom w:w="28" w:type="dxa"/>
        <w:right w:w="40" w:type="dxa"/>
      </w:tblCellMar>
    </w:tblPr>
  </w:style>
  <w:style w:type="character" w:styleId="PageNumber">
    <w:name w:val="page number"/>
    <w:rsid w:val="00BB3C2D"/>
  </w:style>
  <w:style w:type="paragraph" w:customStyle="1" w:styleId="Tableindent2">
    <w:name w:val="Table indent 2"/>
    <w:rsid w:val="00BB3C2D"/>
    <w:pPr>
      <w:numPr>
        <w:numId w:val="7"/>
      </w:numPr>
      <w:tabs>
        <w:tab w:val="left" w:pos="284"/>
      </w:tabs>
    </w:pPr>
    <w:rPr>
      <w:rFonts w:ascii="Arial" w:hAnsi="Arial"/>
      <w:lang w:eastAsia="en-US"/>
    </w:rPr>
  </w:style>
  <w:style w:type="paragraph" w:styleId="TOC1">
    <w:name w:val="toc 1"/>
    <w:basedOn w:val="Normal"/>
    <w:next w:val="Normal"/>
    <w:autoRedefine/>
    <w:semiHidden/>
    <w:rsid w:val="00BB3C2D"/>
    <w:pPr>
      <w:tabs>
        <w:tab w:val="clear" w:pos="3969"/>
      </w:tabs>
    </w:pPr>
    <w:rPr>
      <w:b/>
    </w:rPr>
  </w:style>
  <w:style w:type="paragraph" w:styleId="TOC2">
    <w:name w:val="toc 2"/>
    <w:basedOn w:val="Normal"/>
    <w:next w:val="Normal"/>
    <w:autoRedefine/>
    <w:semiHidden/>
    <w:rsid w:val="00BB3C2D"/>
    <w:pPr>
      <w:tabs>
        <w:tab w:val="clear" w:pos="3969"/>
      </w:tabs>
      <w:ind w:left="200"/>
    </w:pPr>
    <w:rPr>
      <w:b/>
    </w:rPr>
  </w:style>
  <w:style w:type="paragraph" w:customStyle="1" w:styleId="Instructionsindent2">
    <w:name w:val="Instructions indent 2"/>
    <w:rsid w:val="00BB3C2D"/>
    <w:pPr>
      <w:pBdr>
        <w:top w:val="single" w:sz="4" w:space="1" w:color="auto"/>
        <w:left w:val="single" w:sz="4" w:space="4" w:color="auto"/>
        <w:bottom w:val="single" w:sz="4" w:space="1" w:color="auto"/>
        <w:right w:val="single" w:sz="4" w:space="4" w:color="auto"/>
      </w:pBdr>
      <w:tabs>
        <w:tab w:val="left" w:pos="357"/>
        <w:tab w:val="left" w:pos="714"/>
      </w:tabs>
      <w:spacing w:after="60" w:line="220" w:lineRule="exact"/>
      <w:ind w:left="714" w:hanging="714"/>
    </w:pPr>
    <w:rPr>
      <w:rFonts w:ascii="Arial" w:hAnsi="Arial"/>
      <w:vanish/>
      <w:color w:val="008000"/>
      <w:sz w:val="16"/>
      <w:szCs w:val="16"/>
      <w:lang w:eastAsia="en-US"/>
    </w:rPr>
  </w:style>
  <w:style w:type="paragraph" w:customStyle="1" w:styleId="Prompt">
    <w:name w:val="Prompt"/>
    <w:basedOn w:val="Normal"/>
    <w:link w:val="PromptChar"/>
    <w:rsid w:val="00BB3C2D"/>
    <w:rPr>
      <w:color w:val="993300"/>
    </w:rPr>
  </w:style>
  <w:style w:type="paragraph" w:customStyle="1" w:styleId="Promptindent">
    <w:name w:val="Prompt indent"/>
    <w:basedOn w:val="NormalIndent"/>
    <w:rsid w:val="00BB3C2D"/>
    <w:pPr>
      <w:numPr>
        <w:numId w:val="9"/>
      </w:numPr>
    </w:pPr>
    <w:rPr>
      <w:color w:val="993300"/>
    </w:rPr>
  </w:style>
  <w:style w:type="paragraph" w:customStyle="1" w:styleId="Promptindent2">
    <w:name w:val="Prompt indent 2"/>
    <w:basedOn w:val="NormalIndent2"/>
    <w:rsid w:val="00BB3C2D"/>
    <w:pPr>
      <w:numPr>
        <w:numId w:val="10"/>
      </w:numPr>
    </w:pPr>
    <w:rPr>
      <w:color w:val="993300"/>
    </w:rPr>
  </w:style>
  <w:style w:type="paragraph" w:customStyle="1" w:styleId="Standard1">
    <w:name w:val="Standard 1"/>
    <w:rsid w:val="00BB3C2D"/>
    <w:pPr>
      <w:pBdr>
        <w:top w:val="single" w:sz="4" w:space="1" w:color="auto"/>
        <w:left w:val="single" w:sz="4" w:space="4" w:color="auto"/>
        <w:bottom w:val="single" w:sz="4" w:space="1" w:color="auto"/>
        <w:right w:val="single" w:sz="4" w:space="4" w:color="auto"/>
      </w:pBdr>
      <w:tabs>
        <w:tab w:val="left" w:pos="1985"/>
        <w:tab w:val="left" w:pos="2835"/>
      </w:tabs>
      <w:ind w:left="2835" w:hanging="2835"/>
    </w:pPr>
    <w:rPr>
      <w:rFonts w:ascii="Arial" w:hAnsi="Arial"/>
      <w:vanish/>
      <w:color w:val="008000"/>
      <w:sz w:val="16"/>
      <w:szCs w:val="16"/>
      <w:lang w:eastAsia="en-US"/>
    </w:rPr>
  </w:style>
  <w:style w:type="paragraph" w:customStyle="1" w:styleId="Standard2">
    <w:name w:val="Standard 2"/>
    <w:basedOn w:val="Standard1"/>
    <w:rsid w:val="00BB3C2D"/>
    <w:pPr>
      <w:tabs>
        <w:tab w:val="clear" w:pos="2835"/>
        <w:tab w:val="left" w:pos="3119"/>
      </w:tabs>
      <w:ind w:left="3119" w:hanging="3119"/>
    </w:pPr>
  </w:style>
  <w:style w:type="paragraph" w:customStyle="1" w:styleId="OptionalHeading3">
    <w:name w:val="Optional Heading 3"/>
    <w:basedOn w:val="Heading3"/>
    <w:qFormat/>
    <w:rsid w:val="00BB3C2D"/>
    <w:pPr>
      <w:numPr>
        <w:ilvl w:val="0"/>
        <w:numId w:val="0"/>
      </w:numPr>
      <w:shd w:val="clear" w:color="auto" w:fill="D9D9D9"/>
    </w:pPr>
    <w:rPr>
      <w:rFonts w:ascii="Calibri" w:hAnsi="Calibri"/>
      <w:vanish/>
      <w:color w:val="365F91"/>
    </w:rPr>
  </w:style>
  <w:style w:type="paragraph" w:customStyle="1" w:styleId="OptionalHeading4">
    <w:name w:val="Optional Heading 4"/>
    <w:basedOn w:val="Heading4"/>
    <w:qFormat/>
    <w:rsid w:val="00BB3C2D"/>
    <w:pPr>
      <w:shd w:val="clear" w:color="auto" w:fill="D9D9D9"/>
    </w:pPr>
    <w:rPr>
      <w:rFonts w:ascii="Calibri" w:hAnsi="Calibri"/>
      <w:vanish/>
      <w:color w:val="365F91"/>
    </w:rPr>
  </w:style>
  <w:style w:type="paragraph" w:customStyle="1" w:styleId="OptionalNormal">
    <w:name w:val="Optional Normal"/>
    <w:basedOn w:val="Normal"/>
    <w:qFormat/>
    <w:rsid w:val="00BB3C2D"/>
    <w:pPr>
      <w:shd w:val="clear" w:color="auto" w:fill="D9D9D9"/>
    </w:pPr>
    <w:rPr>
      <w:rFonts w:ascii="Calibri" w:hAnsi="Calibri"/>
      <w:vanish/>
      <w:color w:val="365F91"/>
    </w:rPr>
  </w:style>
  <w:style w:type="paragraph" w:customStyle="1" w:styleId="OptionalNormalIndent">
    <w:name w:val="Optional Normal Indent"/>
    <w:rsid w:val="00BB3C2D"/>
    <w:pPr>
      <w:numPr>
        <w:numId w:val="24"/>
      </w:numPr>
      <w:shd w:val="clear" w:color="auto" w:fill="D9D9D9"/>
      <w:tabs>
        <w:tab w:val="left" w:pos="210"/>
      </w:tabs>
      <w:spacing w:after="60"/>
    </w:pPr>
    <w:rPr>
      <w:rFonts w:ascii="Calibri" w:hAnsi="Calibri"/>
      <w:vanish/>
      <w:color w:val="365F91"/>
      <w:lang w:eastAsia="en-US"/>
    </w:rPr>
  </w:style>
  <w:style w:type="paragraph" w:customStyle="1" w:styleId="OptionalTabletext">
    <w:name w:val="Optional Table text"/>
    <w:basedOn w:val="Tabletext"/>
    <w:qFormat/>
    <w:rsid w:val="00BB3C2D"/>
    <w:pPr>
      <w:shd w:val="clear" w:color="auto" w:fill="D9D9D9"/>
    </w:pPr>
    <w:rPr>
      <w:rFonts w:ascii="Calibri" w:hAnsi="Calibri"/>
      <w:vanish/>
      <w:color w:val="365F91"/>
    </w:rPr>
  </w:style>
  <w:style w:type="paragraph" w:customStyle="1" w:styleId="OptionalTabletitle">
    <w:name w:val="Optional Table title"/>
    <w:basedOn w:val="Tabletitle"/>
    <w:qFormat/>
    <w:rsid w:val="00BB3C2D"/>
    <w:pPr>
      <w:shd w:val="clear" w:color="auto" w:fill="D9D9D9"/>
    </w:pPr>
    <w:rPr>
      <w:rFonts w:ascii="Calibri" w:hAnsi="Calibri"/>
      <w:vanish/>
      <w:color w:val="365F91"/>
    </w:rPr>
  </w:style>
  <w:style w:type="paragraph" w:customStyle="1" w:styleId="OptionalPromptindent">
    <w:name w:val="Optional Prompt indent"/>
    <w:basedOn w:val="Promptindent"/>
    <w:rsid w:val="00BB3C2D"/>
    <w:pPr>
      <w:numPr>
        <w:numId w:val="0"/>
      </w:numPr>
      <w:shd w:val="clear" w:color="auto" w:fill="D9D9D9"/>
    </w:pPr>
    <w:rPr>
      <w:rFonts w:ascii="Calibri" w:hAnsi="Calibri"/>
      <w:vanish/>
      <w:color w:val="17365D"/>
    </w:rPr>
  </w:style>
  <w:style w:type="paragraph" w:customStyle="1" w:styleId="OptionalNormalIndent2">
    <w:name w:val="Optional Normal Indent 2"/>
    <w:basedOn w:val="NormalIndent2"/>
    <w:qFormat/>
    <w:rsid w:val="00BB3C2D"/>
    <w:pPr>
      <w:numPr>
        <w:numId w:val="0"/>
      </w:numPr>
      <w:shd w:val="clear" w:color="auto" w:fill="D9D9D9"/>
      <w:tabs>
        <w:tab w:val="clear" w:pos="3969"/>
        <w:tab w:val="left" w:pos="210"/>
      </w:tabs>
    </w:pPr>
    <w:rPr>
      <w:rFonts w:ascii="Calibri" w:hAnsi="Calibri"/>
      <w:vanish/>
      <w:color w:val="365F95"/>
      <w:shd w:val="pct15" w:color="auto" w:fill="FFFFFF"/>
    </w:rPr>
  </w:style>
  <w:style w:type="paragraph" w:customStyle="1" w:styleId="InstructionsHeading4">
    <w:name w:val="Instructions Heading 4"/>
    <w:basedOn w:val="Instructions"/>
    <w:next w:val="Instructions"/>
    <w:qFormat/>
    <w:rsid w:val="005C3403"/>
    <w:rPr>
      <w:b/>
    </w:rPr>
  </w:style>
  <w:style w:type="character" w:customStyle="1" w:styleId="PromptChar">
    <w:name w:val="Prompt Char"/>
    <w:link w:val="Prompt"/>
    <w:rsid w:val="00B87EA6"/>
    <w:rPr>
      <w:rFonts w:ascii="Arial" w:hAnsi="Arial"/>
      <w:color w:val="993300"/>
      <w:lang w:eastAsia="en-US"/>
    </w:rPr>
  </w:style>
  <w:style w:type="character" w:styleId="PlaceholderText">
    <w:name w:val="Placeholder Text"/>
    <w:basedOn w:val="DefaultParagraphFont"/>
    <w:uiPriority w:val="99"/>
    <w:semiHidden/>
    <w:rsid w:val="000D2155"/>
    <w:rPr>
      <w:color w:val="808080"/>
    </w:rPr>
  </w:style>
  <w:style w:type="paragraph" w:styleId="BalloonText">
    <w:name w:val="Balloon Text"/>
    <w:basedOn w:val="Normal"/>
    <w:link w:val="BalloonTextChar"/>
    <w:rsid w:val="000D2155"/>
    <w:pPr>
      <w:spacing w:after="0"/>
    </w:pPr>
    <w:rPr>
      <w:rFonts w:ascii="Tahoma" w:hAnsi="Tahoma" w:cs="Tahoma"/>
      <w:sz w:val="16"/>
      <w:szCs w:val="16"/>
    </w:rPr>
  </w:style>
  <w:style w:type="character" w:customStyle="1" w:styleId="BalloonTextChar">
    <w:name w:val="Balloon Text Char"/>
    <w:basedOn w:val="DefaultParagraphFont"/>
    <w:link w:val="BalloonText"/>
    <w:rsid w:val="000D2155"/>
    <w:rPr>
      <w:rFonts w:ascii="Tahoma" w:eastAsiaTheme="minorHAnsi" w:hAnsi="Tahoma" w:cs="Tahoma"/>
      <w:sz w:val="16"/>
      <w:szCs w:val="16"/>
      <w:lang w:eastAsia="en-US"/>
    </w:rPr>
  </w:style>
  <w:style w:type="table" w:customStyle="1" w:styleId="Table-Item">
    <w:name w:val="Table-Item"/>
    <w:uiPriority w:val="99"/>
    <w:rsid w:val="006A05B6"/>
    <w:rPr>
      <w:rFonts w:asciiTheme="minorHAnsi" w:eastAsiaTheme="minorEastAsia" w:hAnsiTheme="minorHAnsi" w:cstheme="minorBidi"/>
      <w:lang w:eastAsia="zh-CN"/>
    </w:rPr>
    <w:tblPr>
      <w:tblInd w:w="0" w:type="dxa"/>
      <w:tblCellMar>
        <w:top w:w="0" w:type="dxa"/>
        <w:left w:w="108" w:type="dxa"/>
        <w:bottom w:w="0" w:type="dxa"/>
        <w:right w:w="108" w:type="dxa"/>
      </w:tblCellMar>
    </w:tblPr>
    <w:tblStylePr w:type="firstRow">
      <w:tblPr/>
      <w:tcPr>
        <w:shd w:val="clear" w:color="auto" w:fill="D9D9D9" w:themeFill="background1" w:themeFillShade="D9"/>
      </w:tcPr>
    </w:tblStylePr>
    <w:tblStylePr w:type="nwCell">
      <w:tblPr/>
      <w:tcPr>
        <w:tcBorders>
          <w:top w:val="nil"/>
          <w:left w:val="nil"/>
          <w:bottom w:val="nil"/>
          <w:right w:val="nil"/>
          <w:insideH w:val="nil"/>
          <w:insideV w:val="nil"/>
          <w:tl2br w:val="nil"/>
          <w:tr2bl w:val="nil"/>
        </w:tcBorders>
      </w:tcPr>
    </w:tblStylePr>
  </w:style>
  <w:style w:type="table" w:customStyle="1" w:styleId="lightgrey">
    <w:name w:val="light grey"/>
    <w:basedOn w:val="LightShading"/>
    <w:uiPriority w:val="99"/>
    <w:rsid w:val="006A05B6"/>
    <w:rPr>
      <w:lang w:val="en-US"/>
    </w:rP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A05B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Yellow">
    <w:name w:val="tableYellow"/>
    <w:basedOn w:val="TableNormal"/>
    <w:uiPriority w:val="99"/>
    <w:rsid w:val="006A05B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99"/>
    </w:tcPr>
    <w:tblStylePr w:type="firstRow">
      <w:tblPr/>
      <w:tcPr>
        <w:shd w:val="clear" w:color="auto" w:fill="FFCC00"/>
      </w:tcPr>
    </w:tblStylePr>
  </w:style>
  <w:style w:type="table" w:customStyle="1" w:styleId="olasummarytable">
    <w:name w:val="ola_summary_table"/>
    <w:basedOn w:val="TableNormal"/>
    <w:uiPriority w:val="99"/>
    <w:rsid w:val="006A05B6"/>
    <w:rPr>
      <w:rFonts w:asciiTheme="minorHAnsi" w:eastAsiaTheme="minorHAnsi" w:hAnsiTheme="minorHAnsi" w:cstheme="minorBidi"/>
      <w:sz w:val="22"/>
      <w:szCs w:val="22"/>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9CE1F7"/>
    </w:tcPr>
  </w:style>
  <w:style w:type="paragraph" w:customStyle="1" w:styleId="ScheduleL2">
    <w:name w:val="Schedule L2"/>
    <w:basedOn w:val="Normal"/>
    <w:next w:val="Normal"/>
    <w:rsid w:val="006A05B6"/>
    <w:pPr>
      <w:keepNext/>
      <w:numPr>
        <w:ilvl w:val="1"/>
        <w:numId w:val="36"/>
      </w:numPr>
      <w:spacing w:before="280" w:after="140" w:line="280" w:lineRule="atLeast"/>
      <w:outlineLvl w:val="1"/>
    </w:pPr>
    <w:rPr>
      <w:spacing w:val="-10"/>
      <w:w w:val="95"/>
      <w:sz w:val="32"/>
      <w:lang w:eastAsia="zh-CN"/>
    </w:rPr>
  </w:style>
  <w:style w:type="numbering" w:customStyle="1" w:styleId="Clause">
    <w:name w:val="Clause"/>
    <w:uiPriority w:val="99"/>
    <w:rsid w:val="006A05B6"/>
    <w:pPr>
      <w:numPr>
        <w:numId w:val="34"/>
      </w:numPr>
    </w:pPr>
  </w:style>
  <w:style w:type="paragraph" w:customStyle="1" w:styleId="DefinitionL1">
    <w:name w:val="Definition L1"/>
    <w:basedOn w:val="Normal"/>
    <w:next w:val="Normal"/>
    <w:rsid w:val="006A05B6"/>
    <w:pPr>
      <w:numPr>
        <w:numId w:val="35"/>
      </w:numPr>
      <w:spacing w:after="140" w:line="280" w:lineRule="atLeast"/>
      <w:outlineLvl w:val="0"/>
    </w:pPr>
    <w:rPr>
      <w:rFonts w:ascii="Times New Roman" w:hAnsi="Times New Roman"/>
      <w:lang w:eastAsia="zh-CN"/>
    </w:rPr>
  </w:style>
  <w:style w:type="paragraph" w:customStyle="1" w:styleId="DefinitionL2">
    <w:name w:val="Definition L2"/>
    <w:basedOn w:val="Normal"/>
    <w:next w:val="Normal"/>
    <w:rsid w:val="006A05B6"/>
    <w:pPr>
      <w:numPr>
        <w:ilvl w:val="1"/>
        <w:numId w:val="35"/>
      </w:numPr>
      <w:spacing w:after="140" w:line="280" w:lineRule="atLeast"/>
      <w:outlineLvl w:val="1"/>
    </w:pPr>
    <w:rPr>
      <w:rFonts w:ascii="Times New Roman" w:hAnsi="Times New Roman"/>
      <w:lang w:eastAsia="zh-CN"/>
    </w:rPr>
  </w:style>
  <w:style w:type="paragraph" w:customStyle="1" w:styleId="DefinitionL3">
    <w:name w:val="Definition L3"/>
    <w:basedOn w:val="Normal"/>
    <w:next w:val="Normal"/>
    <w:rsid w:val="006A05B6"/>
    <w:pPr>
      <w:numPr>
        <w:ilvl w:val="2"/>
        <w:numId w:val="35"/>
      </w:numPr>
      <w:spacing w:after="140" w:line="280" w:lineRule="atLeast"/>
      <w:outlineLvl w:val="2"/>
    </w:pPr>
    <w:rPr>
      <w:rFonts w:ascii="Times New Roman" w:hAnsi="Times New Roman"/>
      <w:lang w:eastAsia="zh-CN"/>
    </w:rPr>
  </w:style>
  <w:style w:type="paragraph" w:customStyle="1" w:styleId="DefinitionL4">
    <w:name w:val="Definition L4"/>
    <w:basedOn w:val="Normal"/>
    <w:next w:val="Normal"/>
    <w:rsid w:val="006A05B6"/>
    <w:pPr>
      <w:numPr>
        <w:ilvl w:val="3"/>
        <w:numId w:val="35"/>
      </w:numPr>
      <w:spacing w:after="140" w:line="280" w:lineRule="atLeast"/>
      <w:outlineLvl w:val="3"/>
    </w:pPr>
    <w:rPr>
      <w:rFonts w:ascii="Times New Roman" w:hAnsi="Times New Roman"/>
      <w:lang w:eastAsia="zh-CN"/>
    </w:rPr>
  </w:style>
  <w:style w:type="numbering" w:customStyle="1" w:styleId="Schedule">
    <w:name w:val="Schedule"/>
    <w:uiPriority w:val="99"/>
    <w:rsid w:val="006A05B6"/>
    <w:pPr>
      <w:numPr>
        <w:numId w:val="36"/>
      </w:numPr>
    </w:pPr>
  </w:style>
  <w:style w:type="numbering" w:customStyle="1" w:styleId="Warranty">
    <w:name w:val="Warranty"/>
    <w:uiPriority w:val="99"/>
    <w:rsid w:val="006A05B6"/>
    <w:pPr>
      <w:numPr>
        <w:numId w:val="37"/>
      </w:numPr>
    </w:pPr>
  </w:style>
  <w:style w:type="numbering" w:customStyle="1" w:styleId="headinglist">
    <w:name w:val="heading list"/>
    <w:uiPriority w:val="99"/>
    <w:rsid w:val="006A05B6"/>
    <w:pPr>
      <w:numPr>
        <w:numId w:val="38"/>
      </w:numPr>
    </w:pPr>
  </w:style>
  <w:style w:type="numbering" w:customStyle="1" w:styleId="indexlist">
    <w:name w:val="index list"/>
    <w:uiPriority w:val="99"/>
    <w:rsid w:val="006A05B6"/>
    <w:pPr>
      <w:numPr>
        <w:numId w:val="39"/>
      </w:numPr>
    </w:pPr>
  </w:style>
  <w:style w:type="numbering" w:customStyle="1" w:styleId="unumberedlist">
    <w:name w:val="unumbered list"/>
    <w:uiPriority w:val="99"/>
    <w:rsid w:val="006A05B6"/>
    <w:pPr>
      <w:numPr>
        <w:numId w:val="40"/>
      </w:numPr>
    </w:pPr>
  </w:style>
  <w:style w:type="character" w:customStyle="1" w:styleId="delete">
    <w:name w:val="delete"/>
    <w:basedOn w:val="DefaultParagraphFont"/>
    <w:uiPriority w:val="1"/>
    <w:qFormat/>
    <w:rsid w:val="004463CE"/>
    <w:rPr>
      <w:bdr w:val="none" w:sz="0" w:space="0" w:color="auto"/>
      <w:shd w:val="clear" w:color="auto" w:fill="FFFF00"/>
    </w:rPr>
  </w:style>
  <w:style w:type="character" w:customStyle="1" w:styleId="insert">
    <w:name w:val="insert"/>
    <w:basedOn w:val="DefaultParagraphFont"/>
    <w:uiPriority w:val="1"/>
    <w:qFormat/>
    <w:rsid w:val="004463CE"/>
    <w:rPr>
      <w:bdr w:val="none" w:sz="0" w:space="0" w:color="auto"/>
      <w:shd w:val="clear" w:color="auto" w:fill="FFFF00"/>
    </w:rPr>
  </w:style>
  <w:style w:type="table" w:styleId="TableGrid">
    <w:name w:val="Table Grid"/>
    <w:basedOn w:val="TableNormal"/>
    <w:rsid w:val="00367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mptytable">
    <w:name w:val="Empty table"/>
    <w:basedOn w:val="TableNormal"/>
    <w:uiPriority w:val="99"/>
    <w:rsid w:val="00AD0420"/>
    <w:tblPr/>
  </w:style>
  <w:style w:type="paragraph" w:customStyle="1" w:styleId="TableStart">
    <w:name w:val="Table Start"/>
    <w:basedOn w:val="Normal"/>
    <w:qFormat/>
    <w:rsid w:val="00E60190"/>
  </w:style>
  <w:style w:type="paragraph" w:customStyle="1" w:styleId="TableEnd">
    <w:name w:val="Table End"/>
    <w:basedOn w:val="Normal"/>
    <w:qFormat/>
    <w:rsid w:val="00E60190"/>
  </w:style>
  <w:style w:type="paragraph" w:customStyle="1" w:styleId="AUSStandard1">
    <w:name w:val="AUS Standard 1"/>
    <w:basedOn w:val="Standard1"/>
    <w:rsid w:val="00BB3C2D"/>
    <w:pPr>
      <w:pBdr>
        <w:top w:val="none" w:sz="0" w:space="0" w:color="auto"/>
        <w:left w:val="none" w:sz="0" w:space="0" w:color="auto"/>
        <w:bottom w:val="none" w:sz="0" w:space="0" w:color="auto"/>
        <w:right w:val="none" w:sz="0" w:space="0" w:color="auto"/>
      </w:pBdr>
      <w:tabs>
        <w:tab w:val="clear" w:pos="1985"/>
        <w:tab w:val="clear" w:pos="2835"/>
        <w:tab w:val="left" w:pos="2552"/>
        <w:tab w:val="left" w:pos="3402"/>
      </w:tabs>
      <w:ind w:left="3402" w:hanging="3402"/>
    </w:pPr>
    <w:rPr>
      <w:vanish w:val="0"/>
      <w:color w:val="auto"/>
      <w:sz w:val="20"/>
    </w:rPr>
  </w:style>
  <w:style w:type="paragraph" w:customStyle="1" w:styleId="AUSStandard2">
    <w:name w:val="AUS Standard 2"/>
    <w:basedOn w:val="Standard2"/>
    <w:rsid w:val="00BB3C2D"/>
    <w:pPr>
      <w:pBdr>
        <w:top w:val="none" w:sz="0" w:space="0" w:color="auto"/>
        <w:left w:val="none" w:sz="0" w:space="0" w:color="auto"/>
        <w:bottom w:val="none" w:sz="0" w:space="0" w:color="auto"/>
        <w:right w:val="none" w:sz="0" w:space="0" w:color="auto"/>
      </w:pBdr>
      <w:tabs>
        <w:tab w:val="clear" w:pos="1985"/>
        <w:tab w:val="clear" w:pos="3119"/>
        <w:tab w:val="left" w:pos="2552"/>
        <w:tab w:val="left" w:pos="3686"/>
      </w:tabs>
      <w:ind w:left="3686" w:hanging="3686"/>
    </w:pPr>
    <w:rPr>
      <w:vanish w:val="0"/>
      <w:color w:val="auto"/>
      <w:sz w:val="20"/>
    </w:rPr>
  </w:style>
  <w:style w:type="paragraph" w:customStyle="1" w:styleId="External">
    <w:name w:val="External"/>
    <w:basedOn w:val="Normal"/>
    <w:qFormat/>
    <w:rsid w:val="008D68B9"/>
    <w:pPr>
      <w:shd w:val="clear" w:color="auto" w:fill="E5DFEC"/>
    </w:pPr>
    <w:rPr>
      <w:rFonts w:ascii="Cambria" w:hAnsi="Cambria"/>
      <w:color w:val="5F497A"/>
    </w:rPr>
  </w:style>
  <w:style w:type="paragraph" w:customStyle="1" w:styleId="Externalguidance">
    <w:name w:val="External guidance"/>
    <w:basedOn w:val="External"/>
    <w:qFormat/>
    <w:rsid w:val="008D68B9"/>
    <w:pPr>
      <w:pBdr>
        <w:top w:val="single" w:sz="4" w:space="1" w:color="auto"/>
        <w:left w:val="single" w:sz="4" w:space="4" w:color="auto"/>
        <w:bottom w:val="single" w:sz="4" w:space="1" w:color="auto"/>
        <w:right w:val="single" w:sz="4" w:space="4" w:color="auto"/>
      </w:pBdr>
    </w:pPr>
  </w:style>
  <w:style w:type="paragraph" w:customStyle="1" w:styleId="Externalheading4">
    <w:name w:val="External heading 4"/>
    <w:basedOn w:val="External"/>
    <w:qFormat/>
    <w:rsid w:val="008D68B9"/>
    <w:rPr>
      <w:b/>
      <w:bCs/>
    </w:rPr>
  </w:style>
  <w:style w:type="paragraph" w:customStyle="1" w:styleId="Externalindent">
    <w:name w:val="External indent"/>
    <w:basedOn w:val="External"/>
    <w:qFormat/>
    <w:rsid w:val="008D68B9"/>
    <w:pPr>
      <w:numPr>
        <w:numId w:val="41"/>
      </w:numPr>
    </w:pPr>
  </w:style>
  <w:style w:type="paragraph" w:customStyle="1" w:styleId="Externalindent2">
    <w:name w:val="External indent 2"/>
    <w:basedOn w:val="Externalindent"/>
    <w:qFormat/>
    <w:rsid w:val="00147FF6"/>
    <w:pPr>
      <w:ind w:left="641" w:hanging="357"/>
    </w:pPr>
  </w:style>
  <w:style w:type="paragraph" w:customStyle="1" w:styleId="Externalpromptindent">
    <w:name w:val="External prompt indent"/>
    <w:basedOn w:val="Promptindent"/>
    <w:qFormat/>
    <w:rsid w:val="003806E9"/>
    <w:pPr>
      <w:shd w:val="clear" w:color="auto" w:fill="E5DFEC" w:themeFill="accent4" w:themeFillTint="33"/>
    </w:pPr>
    <w:rPr>
      <w:color w:val="5F497A" w:themeColor="accent4" w:themeShade="BF"/>
    </w:rPr>
  </w:style>
  <w:style w:type="paragraph" w:customStyle="1" w:styleId="Externalprompt">
    <w:name w:val="External prompt"/>
    <w:basedOn w:val="Prompt"/>
    <w:link w:val="ExternalpromptChar"/>
    <w:qFormat/>
    <w:rsid w:val="003806E9"/>
    <w:pPr>
      <w:shd w:val="clear" w:color="auto" w:fill="E5DFEC" w:themeFill="accent4" w:themeFillTint="33"/>
    </w:pPr>
    <w:rPr>
      <w:color w:val="5F497A" w:themeColor="accent4" w:themeShade="BF"/>
    </w:rPr>
  </w:style>
  <w:style w:type="character" w:customStyle="1" w:styleId="ExternalpromptChar">
    <w:name w:val="External prompt Char"/>
    <w:basedOn w:val="PromptChar"/>
    <w:link w:val="Externalprompt"/>
    <w:rsid w:val="003806E9"/>
    <w:rPr>
      <w:rFonts w:ascii="Arial" w:hAnsi="Arial"/>
      <w:color w:val="5F497A" w:themeColor="accent4" w:themeShade="BF"/>
      <w:shd w:val="clear" w:color="auto" w:fill="E5DFEC" w:themeFill="accent4" w:themeFillTint="33"/>
      <w:lang w:eastAsia="en-US"/>
    </w:rPr>
  </w:style>
  <w:style w:type="paragraph" w:customStyle="1" w:styleId="Externalpromptindent2">
    <w:name w:val="External prompt indent 2"/>
    <w:basedOn w:val="Promptindent2"/>
    <w:qFormat/>
    <w:rsid w:val="003806E9"/>
    <w:pPr>
      <w:shd w:val="clear" w:color="auto" w:fill="E5DFEC" w:themeFill="accent4" w:themeFillTint="33"/>
    </w:pPr>
    <w:rPr>
      <w:color w:val="5F497A" w:themeColor="accent4" w:themeShade="BF"/>
    </w:rPr>
  </w:style>
  <w:style w:type="character" w:styleId="ps_inl_NStab">
    <w:name w:val="ps_inl_NStab"/>
    <w:basedOn w:val="Normal"/>
    <w:rPr>
      <w:bdr w:val="single" w:sz="4" w:space="0" w:color="D99594" w:themeColor="accent2" w:themeTint="99"/>
    </w:rPr>
  </w:style>
  <w:style w:type="paragraph" w:styleId="ps_blk_reference">
    <w:name w:val="ps_blk_reference"/>
    <w:basedOn w:val="Normal"/>
    <w:pPr>
      <w:pBdr>
        <w:top w:val="single" w:sz="4" w:space="1" w:color="8DB3E2" w:themeColor="text2" w:themeTint="66"/>
        <w:left w:val="single" w:sz="4" w:space="4" w:color="8DB3E2" w:themeColor="text2" w:themeTint="66"/>
        <w:bottom w:val="single" w:sz="4" w:space="1" w:color="8DB3E2" w:themeColor="text2" w:themeTint="66"/>
        <w:right w:val="single" w:sz="4" w:space="4" w:color="8DB3E2" w:themeColor="text2"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rian\Downloads\natspe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Parts>
    <w:docPart>
      <w:docPartPr>
        <w:name w:val="31BECDE4F6EA497FB26583C3D3546F63"/>
        <w:category>
          <w:name w:val="General"/>
          <w:gallery w:val="placeholder"/>
        </w:category>
        <w:types>
          <w:type w:val="bbPlcHdr"/>
        </w:types>
        <w:behaviors>
          <w:behavior w:val="content"/>
        </w:behaviors>
        <w:guid w:val="{54F6FF40-1C9E-429A-BEED-B72786BB63DF}"/>
      </w:docPartPr>
      <w:docPartBody>
        <w:p w:rsidR="00E862B3" w:rsidRDefault="00925E69">
          <w:r w:rsidRPr="00D90C48">
            <w:rPr>
              <w:rStyle w:val="PlaceholderText"/>
            </w:rPr>
            <w:t>[Category]</w:t>
          </w:r>
        </w:p>
      </w:docPartBody>
    </w:docPart>
    <w:docPart>
      <w:docPartPr>
        <w:name w:val="51F9EEBBD2D0489D9B33E0E90B72CD55"/>
        <w:category>
          <w:name w:val="General"/>
          <w:gallery w:val="placeholder"/>
        </w:category>
        <w:types>
          <w:type w:val="bbPlcHdr"/>
        </w:types>
        <w:behaviors>
          <w:behavior w:val="content"/>
        </w:behaviors>
        <w:guid w:val="{DF21B762-E6BE-47A5-802E-C31FB5007A76}"/>
      </w:docPartPr>
      <w:docPartBody>
        <w:p w:rsidR="00B35BAE" w:rsidRDefault="00025310">
          <w:r w:rsidRPr="00B6453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E69"/>
    <w:rsid w:val="00025310"/>
    <w:rsid w:val="000960B6"/>
    <w:rsid w:val="002376A7"/>
    <w:rsid w:val="00323590"/>
    <w:rsid w:val="004744FA"/>
    <w:rsid w:val="0050677F"/>
    <w:rsid w:val="005D61DE"/>
    <w:rsid w:val="00612502"/>
    <w:rsid w:val="00634E37"/>
    <w:rsid w:val="006F45E4"/>
    <w:rsid w:val="00852C26"/>
    <w:rsid w:val="008E193B"/>
    <w:rsid w:val="00925E69"/>
    <w:rsid w:val="00933870"/>
    <w:rsid w:val="00971462"/>
    <w:rsid w:val="00A7620C"/>
    <w:rsid w:val="00B35BAE"/>
    <w:rsid w:val="00C21B33"/>
    <w:rsid w:val="00C2262B"/>
    <w:rsid w:val="00C643B6"/>
    <w:rsid w:val="00C77804"/>
    <w:rsid w:val="00CA2380"/>
    <w:rsid w:val="00DB145A"/>
    <w:rsid w:val="00E862B3"/>
    <w:rsid w:val="00F55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E6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3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4E7705AF8E94C9F27494AF2908D16" ma:contentTypeVersion="13" ma:contentTypeDescription="Create a new document." ma:contentTypeScope="" ma:versionID="c594ac9c6b92f8b26f7edb1723c40115">
  <xsd:schema xmlns:xsd="http://www.w3.org/2001/XMLSchema" xmlns:xs="http://www.w3.org/2001/XMLSchema" xmlns:p="http://schemas.microsoft.com/office/2006/metadata/properties" xmlns:ns2="de773634-718a-4844-aab4-533a91d507cc" xmlns:ns3="0ff0ab3b-65a4-414a-a24f-e750f80b11d6" targetNamespace="http://schemas.microsoft.com/office/2006/metadata/properties" ma:root="true" ma:fieldsID="24b139a6f17bd7ecd884fb09d01fb2f5" ns2:_="" ns3:_="">
    <xsd:import namespace="de773634-718a-4844-aab4-533a91d507cc"/>
    <xsd:import namespace="0ff0ab3b-65a4-414a-a24f-e750f80b11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73634-718a-4844-aab4-533a91d50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c6b369-67d4-4673-ad2b-fd6a8b2737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f0ab3b-65a4-414a-a24f-e750f80b11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f1b8d2-814c-4cd6-823c-66c86a919cc8}" ma:internalName="TaxCatchAll" ma:showField="CatchAllData" ma:web="0ff0ab3b-65a4-414a-a24f-e750f80b1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f0ab3b-65a4-414a-a24f-e750f80b11d6" xsi:nil="true"/>
    <lcf76f155ced4ddcb4097134ff3c332f xmlns="de773634-718a-4844-aab4-533a91d507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0DECAC-A013-4944-BD16-88C4CAB3D2DD}"/>
</file>

<file path=customXml/itemProps2.xml><?xml version="1.0" encoding="utf-8"?>
<ds:datastoreItem xmlns:ds="http://schemas.openxmlformats.org/officeDocument/2006/customXml" ds:itemID="{15134DDE-CFDD-46ED-A451-B72BC1033953}"/>
</file>

<file path=customXml/itemProps3.xml><?xml version="1.0" encoding="utf-8"?>
<ds:datastoreItem xmlns:ds="http://schemas.openxmlformats.org/officeDocument/2006/customXml" ds:itemID="{315ED35C-BF28-4A27-ADF0-EA75B2EC8650}"/>
</file>

<file path=docProps/app.xml><?xml version="1.0" encoding="utf-8"?>
<Properties xmlns="http://schemas.openxmlformats.org/officeDocument/2006/extended-properties" xmlns:vt="http://schemas.openxmlformats.org/officeDocument/2006/docPropsVTypes">
  <Template>natspec.dotm</Template>
  <TotalTime>46</TotalTime>
  <Pages>14</Pages>
  <Words>5381</Words>
  <Characters>30672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NATSPEC Template File</vt:lpstr>
    </vt:vector>
  </TitlesOfParts>
  <Company>Construction Information Systems Australia Pty Ltd</Company>
  <LinksUpToDate>false</LinksUpToDate>
  <CharactersWithSpaces>35982</CharactersWithSpaces>
  <SharedDoc>false</SharedDoc>
  <HLinks>
    <vt:vector size="12" baseType="variant">
      <vt:variant>
        <vt:i4>2687099</vt:i4>
      </vt:variant>
      <vt:variant>
        <vt:i4>3</vt:i4>
      </vt:variant>
      <vt:variant>
        <vt:i4>0</vt:i4>
      </vt:variant>
      <vt:variant>
        <vt:i4>5</vt:i4>
      </vt:variant>
      <vt:variant>
        <vt:lpwstr>http://acumen.architecture.com.au/</vt:lpwstr>
      </vt:variant>
      <vt:variant>
        <vt:lpwstr/>
      </vt:variant>
      <vt:variant>
        <vt:i4>6422589</vt:i4>
      </vt:variant>
      <vt:variant>
        <vt:i4>0</vt:i4>
      </vt:variant>
      <vt:variant>
        <vt:i4>0</vt:i4>
      </vt:variant>
      <vt:variant>
        <vt:i4>5</vt:i4>
      </vt:variant>
      <vt:variant>
        <vt:lpwstr>http://www.natspec.com.au/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0195p GUARDIAN TACTILE SYSTEMS TGSIs, nosing and ancillaries.docx</dc:title>
  <dc:subject>Oct 26</dc:subject>
  <dc:description>Document generated by PageSeeder.</dc:description>
  <cp:category>01 GENERAL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0x010100A834E7705AF8E94C9F27494AF2908D16</vt:lpwstr>
  </property>
</Properties>
</file>