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w:body>
    <w:bookmarkStart w:name="f-117744" w:id="0"/>
    <w:bookmarkEnd w:id="0"/>
    <w:bookmarkStart w:name="f-117744-worksection-current" w:id="1"/>
    <w:bookmarkStart w:name="f-117757" w:id="2"/>
    <w:bookmarkStart w:name="f-117757-title" w:id="3"/>
    <w:p>
      <w:pPr>
        <w:pStyle w:val="Heading1"/>
      </w:pPr>
      <w:bookmarkStart w:name="h-117757-title" w:id="4"/>
      <w:r>
        <w:rPr/>
        <w:t xml:space="preserve">0437p FIELDERS cladding – specialised panels</w:t>
      </w:r>
      <w:bookmarkEnd w:id="4"/>
    </w:p>
    <w:bookmarkEnd w:id="3"/>
    <w:bookmarkEnd w:id="2"/>
    <w:bookmarkStart w:name="f-117743" w:id="5"/>
    <w:bookmarkStart w:name="f-117743-1" w:id="6"/>
    <w:p>
      <w:pPr>
        <w:pStyle w:val="InstructionsHeading4"/>
      </w:pPr>
      <w:r>
        <w:rPr/>
        <w:t xml:space="preserve">Branded worksection</w:t>
      </w:r>
    </w:p>
    <w:p>
      <w:pPr>
        <w:pStyle w:val="Instructions"/>
      </w:pPr>
      <w:r>
        <w:rPr/>
        <w:t xml:space="preserve">This branded worksection </w:t>
      </w:r>
      <w:r>
        <w:rPr>
          <w:i/>
        </w:rPr>
        <w:t xml:space="preserve">Template</w:t>
      </w:r>
      <w:r>
        <w:rPr/>
        <w:t xml:space="preserve"> has been developed by NATSPEC in conjunction with </w:t>
      </w:r>
      <w:r>
        <w:rPr>
          <w:b/>
        </w:rPr>
        <w:t xml:space="preserve">FIELDERS</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"http://www.natspec.com.au/" </w:instrText>
      </w:r>
      <w:r>
        <w:fldChar w:fldCharType="separate"/>
      </w:r>
      <w:r>
        <w:rPr>
          <w:rStyle w:val="Hyperlink"/>
        </w:rPr>
        <w:t>www.natspec.com.au</w:t>
      </w:r>
      <w:r>
        <w:fldChar w:fldCharType="end"/>
      </w:r>
      <w:r>
        <w:rPr/>
        <w:t xml:space="preserve"> for the latest updated version.</w:t>
      </w:r>
    </w:p>
    <w:bookmarkEnd w:id="6"/>
    <w:bookmarkEnd w:id="5"/>
    <w:bookmarkStart w:name="f-2_117736" w:id="7"/>
    <w:bookmarkStart w:name="f-2_117736-1" w:id="8"/>
    <w:p>
      <w:pPr>
        <w:pStyle w:val="InstructionsHeading4"/>
      </w:pPr>
      <w:r>
        <w:rPr/>
        <w:t xml:space="preserve">Worksection abstract</w:t>
      </w:r>
    </w:p>
    <w:p>
      <w:pPr>
        <w:pStyle w:val="Instructions"/>
      </w:pPr>
      <w:r>
        <w:rPr/>
        <w:t xml:space="preserve">This branded worksection </w:t>
      </w:r>
      <w:r>
        <w:rPr>
          <w:i/>
        </w:rPr>
        <w:t xml:space="preserve">Template</w:t>
      </w:r>
      <w:r>
        <w:rPr/>
        <w:t xml:space="preserve"> is applicable to FIELDERS lightweight external wall cladding from the Finesse</w:t>
      </w:r>
      <w:r>
        <w:rPr>
          <w:vertAlign w:val="superscript"/>
        </w:rPr>
        <w:t xml:space="preserve">®</w:t>
      </w:r>
      <w:r>
        <w:rPr/>
        <w:t xml:space="preserve"> range.</w:t>
      </w:r>
    </w:p>
    <w:bookmarkEnd w:id="8"/>
    <w:bookmarkEnd w:id="7"/>
    <w:bookmarkStart w:name="f-117779" w:id="9"/>
    <w:bookmarkStart w:name="f-117779-1" w:id="10"/>
    <w:p>
      <w:pPr>
        <w:pStyle w:val="InstructionsHeading4"/>
      </w:pPr>
      <w:r>
        <w:rPr/>
        <w:t xml:space="preserve">Background </w:t>
      </w:r>
    </w:p>
    <w:p>
      <w:pPr>
        <w:pStyle w:val="Instructions"/>
      </w:pPr>
      <w:r>
        <w:rPr/>
        <w:t xml:space="preserve">The Australian profiled sheet steel industry is organised as follows:</w:t>
      </w:r>
    </w:p>
    <w:p>
      <w:pPr>
        <w:pStyle w:val="Instructionsindent"/>
      </w:pPr>
      <w:r>
        <w:rPr/>
        <w:t xml:space="preserve">BlueScope manufacture Colorbond</w:t>
      </w:r>
      <w:r>
        <w:rPr>
          <w:vertAlign w:val="superscript"/>
        </w:rPr>
        <w:t xml:space="preserve">®</w:t>
      </w:r>
      <w:r>
        <w:rPr/>
        <w:t xml:space="preserve"> pre painted steel and Zincalume</w:t>
      </w:r>
      <w:r>
        <w:rPr>
          <w:vertAlign w:val="superscript"/>
        </w:rPr>
        <w:t xml:space="preserve">®</w:t>
      </w:r>
      <w:r>
        <w:rPr/>
        <w:t xml:space="preserve"> steel coils.</w:t>
      </w:r>
    </w:p>
    <w:p>
      <w:pPr>
        <w:pStyle w:val="Instructionsindent"/>
      </w:pPr>
      <w:r>
        <w:rPr/>
        <w:t xml:space="preserve">FIELDERS, using steel coils, shapes steel into different profiles and cuts sheets to length.</w:t>
      </w:r>
    </w:p>
    <w:p>
      <w:pPr>
        <w:pStyle w:val="Instructionsindent"/>
      </w:pPr>
      <w:r>
        <w:rPr/>
        <w:t xml:space="preserve">Installers take off material quantities, order and install, often as subcontractors to the contractor.</w:t>
      </w:r>
    </w:p>
    <w:bookmarkEnd w:id="10"/>
    <w:bookmarkEnd w:id="9"/>
    <w:bookmarkStart w:name="f-117750" w:id="11"/>
    <w:bookmarkStart w:name="f-117750-1" w:id="12"/>
    <w:p>
      <w:pPr>
        <w:pStyle w:val="InstructionsHeading4"/>
      </w:pPr>
      <w:r>
        <w:rPr/>
        <w:t xml:space="preserve">Guidance text </w:t>
      </w:r>
    </w:p>
    <w:p>
      <w:pPr>
        <w:pStyle w:val="Instructions"/>
      </w:pPr>
      <w:r>
        <w:rPr/>
        <w:t xml:space="preserve">All text within these boxes is provided as guidance for developing this worksection and should not form part of the final specification. This </w:t>
      </w:r>
      <w:r>
        <w:rPr>
          <w:i/>
        </w:rPr>
        <w:t xml:space="preserve">Guidance</w:t>
      </w:r>
      <w:r>
        <w:rPr/>
        <w:t xml:space="preserve"> text may be hidden or deleted from the document using the NATSPEC Toolbar or the hidden text </w:t>
      </w:r>
      <w:r>
        <w:rPr>
          <w:i/>
        </w:rPr>
        <w:t xml:space="preserve">Hide</w:t>
      </w:r>
      <w:r>
        <w:rPr/>
        <w:t xml:space="preserve"> and </w:t>
      </w:r>
      <w:r>
        <w:rPr>
          <w:i/>
        </w:rPr>
        <w:t xml:space="preserve">Delete</w:t>
      </w:r>
      <w:r>
        <w:rPr/>
        <w:t xml:space="preserve"> functions of your word processing system. For additional information visit FAQs at </w:t>
      </w:r>
      <w:r>
        <w:fldChar w:fldCharType="begin"/>
      </w:r>
      <w:r>
        <w:instrText xml:space="preserve"> HYPERLINK "http://www.natspec.com.au" </w:instrText>
      </w:r>
      <w:r>
        <w:fldChar w:fldCharType="separate"/>
      </w:r>
      <w:r>
        <w:rPr>
          <w:rStyle w:val="Hyperlink"/>
        </w:rPr>
        <w:t>www.natspec.com.au</w:t>
      </w:r>
      <w:r>
        <w:fldChar w:fldCharType="end"/>
      </w:r>
      <w:r>
        <w:rPr/>
        <w:t xml:space="preserve">.</w:t>
      </w:r>
    </w:p>
    <w:bookmarkEnd w:id="12"/>
    <w:bookmarkEnd w:id="11"/>
    <w:bookmarkStart w:name="f-99904" w:id="13"/>
    <w:bookmarkStart w:name="f-99904-3" w:id="14"/>
    <w:p>
      <w:pPr>
        <w:pStyle w:val="OptionalHeading4"/>
      </w:pPr>
      <w:r>
        <w:rPr>
          <w:i/>
        </w:rPr>
        <w:t xml:space="preserve">Optional</w:t>
      </w:r>
      <w:r>
        <w:rPr/>
        <w:t xml:space="preserve"> style text</w:t>
      </w:r>
    </w:p>
    <w:p>
      <w:pPr>
        <w:pStyle w:val="OptionalNormal"/>
      </w:pPr>
      <w:r>
        <w:rPr/>
        <w:t xml:space="preserve">Text in this font (blue with a grey background) covers items specified less frequently. It is provided for incorporation into </w:t>
      </w:r>
      <w:r>
        <w:rPr>
          <w:i/>
        </w:rPr>
        <w:t xml:space="preserve">Normal</w:t>
      </w:r>
      <w:r>
        <w:rPr/>
        <w:t xml:space="preserve"> style text where it is applicable to a project.</w:t>
      </w:r>
    </w:p>
    <w:bookmarkEnd w:id="14"/>
    <w:bookmarkEnd w:id="13"/>
    <w:bookmarkStart w:name="f-117776" w:id="15"/>
    <w:bookmarkStart w:name="f-117776-1" w:id="16"/>
    <w:p>
      <w:pPr>
        <w:pStyle w:val="InstructionsHeading4"/>
      </w:pPr>
      <w:r>
        <w:rPr/>
        <w:t xml:space="preserve">Related material located elsewhere in NATSPEC </w:t>
      </w:r>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See for example:</w:t>
      </w:r>
    </w:p>
    <w:p>
      <w:pPr>
        <w:pStyle w:val="Instructionsindent"/>
      </w:pPr>
      <w:r>
        <w:rPr>
          <w:i/>
        </w:rPr>
        <w:t xml:space="preserve">0311p FIELDERS KingFlor in concrete formwork</w:t>
      </w:r>
      <w:r>
        <w:rPr/>
        <w:t xml:space="preserve">.</w:t>
      </w:r>
    </w:p>
    <w:p>
      <w:pPr>
        <w:pStyle w:val="Instructionsindent"/>
      </w:pPr>
      <w:r>
        <w:rPr>
          <w:i/>
        </w:rPr>
        <w:t xml:space="preserve">0342 Light steel framing</w:t>
      </w:r>
      <w:r>
        <w:rPr/>
        <w:t xml:space="preserve"> for subframing.</w:t>
      </w:r>
    </w:p>
    <w:p>
      <w:pPr>
        <w:pStyle w:val="Instructionsindent"/>
      </w:pPr>
      <w:r>
        <w:rPr>
          <w:i/>
        </w:rPr>
        <w:t xml:space="preserve">0382 Light timber framing</w:t>
      </w:r>
      <w:r>
        <w:rPr/>
        <w:t xml:space="preserve"> for subframing.</w:t>
      </w:r>
    </w:p>
    <w:p>
      <w:pPr>
        <w:pStyle w:val="Instructionsindent"/>
      </w:pPr>
      <w:r>
        <w:rPr>
          <w:i/>
        </w:rPr>
        <w:t xml:space="preserve">0423p FIELDERS roofing - profiled sheet metal</w:t>
      </w:r>
      <w:r>
        <w:rPr/>
        <w:t xml:space="preserve">.</w:t>
      </w:r>
    </w:p>
    <w:p>
      <w:pPr>
        <w:pStyle w:val="Instructionsindent"/>
      </w:pPr>
      <w:r>
        <w:rPr>
          <w:i/>
        </w:rPr>
        <w:t xml:space="preserve">0424p FIELDERS roofing - specialised sheet metal</w:t>
      </w:r>
      <w:r>
        <w:rPr/>
        <w:t xml:space="preserve">.</w:t>
      </w:r>
    </w:p>
    <w:p>
      <w:pPr>
        <w:pStyle w:val="Instructionsindent"/>
      </w:pPr>
      <w:r>
        <w:rPr>
          <w:i/>
        </w:rPr>
        <w:t xml:space="preserve">0432 Curtain walls</w:t>
      </w:r>
      <w:r>
        <w:rPr/>
        <w:t xml:space="preserve">.</w:t>
      </w:r>
    </w:p>
    <w:p>
      <w:pPr>
        <w:pStyle w:val="Instructionsindent"/>
      </w:pPr>
      <w:r>
        <w:rPr>
          <w:i/>
        </w:rPr>
        <w:t xml:space="preserve">0433 Stone cladding</w:t>
      </w:r>
      <w:r>
        <w:rPr>
          <w:i/>
        </w:rPr>
        <w:t xml:space="preserve">.</w:t>
      </w:r>
    </w:p>
    <w:p>
      <w:pPr>
        <w:pStyle w:val="Instructionsindent"/>
      </w:pPr>
      <w:r>
        <w:rPr>
          <w:i/>
        </w:rPr>
        <w:t xml:space="preserve">0434 Cladding – flat sheets and panels</w:t>
      </w:r>
      <w:r>
        <w:rPr/>
        <w:t xml:space="preserve">.</w:t>
      </w:r>
    </w:p>
    <w:p>
      <w:pPr>
        <w:pStyle w:val="Instructionsindent"/>
      </w:pPr>
      <w:r>
        <w:rPr>
          <w:i/>
        </w:rPr>
        <w:t xml:space="preserve">0435 Cladding – planks and weatherboards</w:t>
      </w:r>
      <w:r>
        <w:rPr/>
        <w:t xml:space="preserve">.</w:t>
      </w:r>
    </w:p>
    <w:p>
      <w:pPr>
        <w:pStyle w:val="Instructionsindent"/>
      </w:pPr>
      <w:r>
        <w:rPr>
          <w:i/>
        </w:rPr>
        <w:t xml:space="preserve">0436p FIELDERS cladding - profiled sheet metal</w:t>
      </w:r>
      <w:r>
        <w:rPr/>
        <w:t xml:space="preserve">.</w:t>
      </w:r>
    </w:p>
    <w:p>
      <w:pPr>
        <w:pStyle w:val="Instructionsindent"/>
      </w:pPr>
      <w:r>
        <w:rPr>
          <w:i/>
        </w:rPr>
        <w:t xml:space="preserve">0471 Thermal insulation and pliable membranes</w:t>
      </w:r>
      <w:r>
        <w:rPr/>
        <w:t xml:space="preserve"> for wall installation, thermal breaks and vapour permeable membranes.</w:t>
      </w:r>
    </w:p>
    <w:p>
      <w:pPr>
        <w:pStyle w:val="Instructionsindent"/>
      </w:pPr>
      <w:r>
        <w:rPr>
          <w:i/>
        </w:rPr>
        <w:t xml:space="preserve">0511 Lining</w:t>
      </w:r>
      <w:r>
        <w:rPr/>
        <w:t xml:space="preserve">.</w:t>
      </w:r>
    </w:p>
    <w:p>
      <w:pPr>
        <w:pStyle w:val="Instructionsindent"/>
      </w:pPr>
      <w:r>
        <w:rPr>
          <w:i/>
        </w:rPr>
        <w:t xml:space="preserve">0531 Suspended ceilings – combined</w:t>
      </w:r>
      <w:r>
        <w:rPr/>
        <w:t xml:space="preserve"> for suspended soffits.</w:t>
      </w:r>
    </w:p>
    <w:bookmarkEnd w:id="16"/>
    <w:bookmarkEnd w:id="15"/>
    <w:bookmarkStart w:name="f-117745" w:id="17"/>
    <w:bookmarkStart w:name="f-117745-1" w:id="18"/>
    <w:p>
      <w:pPr>
        <w:pStyle w:val="InstructionsHeading4"/>
      </w:pPr>
      <w:r>
        <w:rPr/>
        <w:t xml:space="preserve">Documenting this and related work </w:t>
      </w:r>
    </w:p>
    <w:p>
      <w:pPr>
        <w:pStyle w:val="Instructions"/>
      </w:pPr>
      <w:r>
        <w:rPr/>
        <w:t xml:space="preserve">You may document this and related work as follows:</w:t>
      </w:r>
    </w:p>
    <w:p>
      <w:pPr>
        <w:pStyle w:val="Instructionsindent"/>
      </w:pPr>
      <w:r>
        <w:rPr/>
        <w:t xml:space="preserve">Document the structural support system to your office documentation policy.</w:t>
      </w:r>
    </w:p>
    <w:p>
      <w:pPr>
        <w:pStyle w:val="Instructionsindent"/>
      </w:pPr>
      <w:r>
        <w:rPr/>
        <w:t xml:space="preserve">Locate the extent of cladding types, accessories, and finishes on drawings to your office documentation policy.</w:t>
      </w:r>
    </w:p>
    <w:p>
      <w:pPr>
        <w:pStyle w:val="Instructionsindent"/>
      </w:pPr>
      <w:r>
        <w:rPr/>
        <w:t xml:space="preserve">Penetrations: Show on the drawings the location and extent of penetrations for services and structural elements including flashing details.</w:t>
      </w:r>
    </w:p>
    <w:bookmarkStart w:name="f-120495" w:id="19"/>
    <w:bookmarkStart w:name="f-120495-1" w:id="20"/>
    <w:p>
      <w:pPr>
        <w:pStyle w:val="Instructionsindent"/>
      </w:pPr>
      <w:r>
        <w:rPr/>
        <w:t xml:space="preserve">If required, state the minimum added thermal resistance (R-Value) (m</w:t>
      </w:r>
      <w:r>
        <w:rPr>
          <w:vertAlign w:val="superscript"/>
        </w:rPr>
        <w:t xml:space="preserve">2</w:t>
      </w:r>
      <w:r>
        <w:rPr/>
        <w:t xml:space="preserve"> K/W). See NATSPEC TECHnote DES 031 for information on specifying R-Values.</w:t>
      </w:r>
    </w:p>
    <w:bookmarkEnd w:id="20"/>
    <w:bookmarkEnd w:id="19"/>
    <w:p>
      <w:pPr>
        <w:pStyle w:val="Instructionsindent"/>
      </w:pPr>
      <w:r>
        <w:rPr/>
        <w:t xml:space="preserve">Document bushfire protection requirements to conform to AS 3959​ and the NCC. See NATSPEC TECHnote DES 018 for information on bushfire protection.</w:t>
      </w:r>
    </w:p>
    <w:p>
      <w:pPr>
        <w:pStyle w:val="Instructionsindent"/>
      </w:pPr>
      <w:r>
        <w:rPr/>
        <w:t xml:space="preserve">Check lead time for imported selections and consider adding a requirement in </w:t>
      </w:r>
      <w:r>
        <w:rPr>
          <w:b/>
        </w:rPr>
        <w:t xml:space="preserve">SUBMISSIONS</w:t>
      </w:r>
      <w:r>
        <w:rPr/>
        <w:t xml:space="preserve">, for the builder to confirm availability.</w:t>
      </w:r>
    </w:p>
    <w:bookmarkStart w:name="f-104408" w:id="21"/>
    <w:bookmarkStart w:name="f-10440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p>
      <w:pPr>
        <w:pStyle w:val="Instructions"/>
      </w:pPr>
      <w:r>
        <w:rPr/>
        <w:t xml:space="preserve">For example:</w:t>
      </w:r>
    </w:p>
    <w:p>
      <w:pPr>
        <w:pStyle w:val="Instructionsindent"/>
      </w:pPr>
      <w:r>
        <w:rPr/>
        <w:t xml:space="preserve">Location of control joints.</w:t>
      </w:r>
    </w:p>
    <w:bookmarkEnd w:id="18"/>
    <w:bookmarkEnd w:id="17"/>
    <w:bookmarkStart w:name="f-117721" w:id="23"/>
    <w:bookmarkStart w:name="f-117721-1" w:id="24"/>
    <w:p>
      <w:pPr>
        <w:pStyle w:val="InstructionsHeading4"/>
      </w:pPr>
      <w:r>
        <w:rPr/>
        <w:t xml:space="preserve">Specifying ESD </w:t>
      </w:r>
    </w:p>
    <w:p>
      <w:pPr>
        <w:pStyle w:val="Instructions"/>
      </w:pPr>
      <w:r>
        <w:rPr/>
        <w:t xml:space="preserve">The following may be specified by including additional text:</w:t>
      </w:r>
    </w:p>
    <w:p>
      <w:pPr>
        <w:pStyle w:val="Instructionsindent"/>
      </w:pPr>
      <w:r>
        <w:rPr/>
        <w:t xml:space="preserve">Metal cladding manufactured from recycled metal and/or is recyclable.</w:t>
      </w:r>
    </w:p>
    <w:p>
      <w:pPr>
        <w:pStyle w:val="Instructionsindent"/>
      </w:pPr>
      <w:r>
        <w:rPr/>
        <w:t xml:space="preserve">Metal cladding finished with low VOC or non-VOC finish.</w:t>
      </w:r>
    </w:p>
    <w:p>
      <w:pPr>
        <w:pStyle w:val="Instructionsindent"/>
      </w:pPr>
      <w:r>
        <w:rPr/>
        <w:t xml:space="preserve">Refer to the NATSPEC TECHreport TR 01 on specifying ESD.</w:t>
      </w:r>
    </w:p>
    <w:bookmarkEnd w:id="24"/>
    <w:bookmarkEnd w:id="23"/>
    <w:bookmarkStart w:name="f-117741" w:id="25"/>
    <w:bookmarkStart w:name="f-117741-1" w:id="26"/>
    <w:p>
      <w:pPr>
        <w:pStyle w:val="Heading2"/>
      </w:pPr>
      <w:bookmarkStart w:name="h-117741-1" w:id="27"/>
      <w:r>
        <w:rPr/>
        <w:t xml:space="preserve">General </w:t>
      </w:r>
      <w:bookmarkEnd w:id="27"/>
    </w:p>
    <w:p>
      <w:pPr>
        <w:pStyle w:val="Instructions"/>
      </w:pPr>
      <w:r>
        <w:rPr/>
        <w:t xml:space="preserve">FIELDERS manufacture a comprehensive range of mainly roll-formed products which are supplied to commercial, industrial and domestic building contractors. The main manufacturing sites are at Mile End in South Australia, Wangara and Osborne Park in Western Australia, Campbellfield in Victoria, and Minchinbury in New South Wales. Branches are located at Marion, Gawler and Noarlunga in South Australia, O'Conner, Bunbury and Geraldton in Western Australia, and Darwin in the Northern Territory.</w:t>
      </w:r>
    </w:p>
    <w:p>
      <w:pPr>
        <w:pStyle w:val="Instructions"/>
      </w:pPr>
      <w:r>
        <w:rPr/>
        <w:t xml:space="preserve">Products include roofing and cladding in a range of profiles and gauges, fencing systems, rainwater goods, gutters, flashings, sheet metal fabrication, fascia, purlins, door frames, KingFlor structural decking, carports and sheds.</w:t>
      </w:r>
    </w:p>
    <w:bookmarkEnd w:id="26"/>
    <w:bookmarkEnd w:id="25"/>
    <w:bookmarkStart w:name="f-92121-content" w:id="28"/>
    <w:p>
      <w:pPr>
        <w:pStyle w:val="Heading3"/>
      </w:pPr>
      <w:bookmarkStart w:name="h-92121-content" w:id="29"/>
      <w:r>
        <w:rPr/>
        <w:t xml:space="preserve">Responsibilities</w:t>
      </w:r>
      <w:bookmarkEnd w:id="29"/>
    </w:p>
    <w:bookmarkEnd w:id="28"/>
    <w:bookmarkStart w:name="f-117784" w:id="30"/>
    <w:bookmarkStart w:name="f-117784-1" w:id="31"/>
    <w:p>
      <w:pPr>
        <w:pStyle w:val="Heading4"/>
      </w:pPr>
      <w:bookmarkStart w:name="h-117784-1" w:id="32"/>
      <w:r>
        <w:rPr/>
        <w:t xml:space="preserve">General</w:t>
      </w:r>
      <w:bookmarkEnd w:id="32"/>
    </w:p>
    <w:p>
      <w:pPr>
        <w:pStyle w:val="Normal"/>
      </w:pPr>
      <w:r>
        <w:rPr/>
        <w:t xml:space="preserve">Requirement: Provide FIELDERS specialised panel, lightweight external wall cladding and associated work, as documented.</w:t>
      </w:r>
    </w:p>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1"/>
    <w:bookmarkEnd w:id="30"/>
    <w:bookmarkStart w:name="f-117740" w:id="33"/>
    <w:bookmarkStart w:name="f-117740-1" w:id="34"/>
    <w:p>
      <w:pPr>
        <w:pStyle w:val="Heading4"/>
      </w:pPr>
      <w:bookmarkStart w:name="h-117740-1" w:id="35"/>
      <w:r>
        <w:rPr/>
        <w:t xml:space="preserve">Location exposure severity </w:t>
      </w:r>
      <w:bookmarkEnd w:id="35"/>
    </w:p>
    <w:p>
      <w:pPr>
        <w:pStyle w:val="Instructions"/>
      </w:pPr>
      <w:r>
        <w:rPr/>
        <w:t xml:space="preserve">Exposure severity determines the grade of Colorbond</w:t>
      </w:r>
      <w:r>
        <w:rPr>
          <w:vertAlign w:val="superscript"/>
        </w:rPr>
        <w:t xml:space="preserve">®</w:t>
      </w:r>
      <w:r>
        <w:rPr/>
        <w:t xml:space="preserve"> steel and Zincalume</w:t>
      </w:r>
      <w:r>
        <w:rPr>
          <w:vertAlign w:val="superscript"/>
        </w:rPr>
        <w:t xml:space="preserve">®</w:t>
      </w:r>
      <w:r>
        <w:rPr/>
        <w:t xml:space="preserve"> steel. Refer to BlueScope TB-01B guide on selecting steel cladding products.</w:t>
      </w:r>
    </w:p>
    <w:p>
      <w:pPr>
        <w:pStyle w:val="Prompt"/>
      </w:pPr>
      <w:r>
        <w:rPr/>
        <w:t xml:space="preserve">Exposure severity category: </w:t>
      </w:r>
      <w:r>
        <w:fldChar w:fldCharType="begin"/>
        <w:instrText xml:space="preserve"> MACROBUTTON  ac_OnHelp [complete/delete]</w:instrText>
        <w:fldChar w:fldCharType="separate"/>
        <w:t xml:space="preserve"> </w:t>
        <w:fldChar w:fldCharType="end"/>
      </w:r>
    </w:p>
    <w:p>
      <w:pPr>
        <w:pStyle w:val="Instructions"/>
      </w:pPr>
      <w:r>
        <w:rPr/>
        <w:t xml:space="preserve">Exposure severity category: The approximate distance from marine influence. Select from the following:</w:t>
      </w:r>
    </w:p>
    <w:p>
      <w:pPr>
        <w:pStyle w:val="Instructionsindent"/>
      </w:pPr>
      <w:r>
        <w:rPr/>
        <w:t xml:space="preserve">Benign: &gt; 1000 m from breaking surf/exposed marine or &gt; 1000 m from calm marine.</w:t>
      </w:r>
    </w:p>
    <w:p>
      <w:pPr>
        <w:pStyle w:val="Instructionsindent"/>
      </w:pPr>
      <w:r>
        <w:rPr/>
        <w:t xml:space="preserve">Moderate: 401 to 1000 m from breaking surf/exposed marine or 201 to 1000 m from calm marine.</w:t>
      </w:r>
    </w:p>
    <w:p>
      <w:pPr>
        <w:pStyle w:val="Instructionsindent"/>
      </w:pPr>
      <w:r>
        <w:rPr/>
        <w:t xml:space="preserve">Marine: 201 to 400 m from breaking surf/exposed marine or 101 to 200 m from calm marine.</w:t>
      </w:r>
    </w:p>
    <w:p>
      <w:pPr>
        <w:pStyle w:val="Instructionsindent"/>
      </w:pPr>
      <w:r>
        <w:rPr/>
        <w:t xml:space="preserve">Severe marine: 101 to 200 m from breaking surf/exposed marine or 0 to 100 m from calm marine.</w:t>
      </w:r>
    </w:p>
    <w:p>
      <w:pPr>
        <w:pStyle w:val="Instructionsindent"/>
      </w:pPr>
      <w:r>
        <w:rPr/>
        <w:t xml:space="preserve">Very severe marine: 0 to 100 m from breaking surf/exposed marine.</w:t>
      </w:r>
    </w:p>
    <w:p>
      <w:pPr>
        <w:pStyle w:val="Instructionsindent"/>
      </w:pPr>
      <w:r>
        <w:rPr/>
        <w:t xml:space="preserve">For organic coating used in sheet steel, there are additional corrosivity categories. Add, if appropriate.  They are:</w:t>
      </w:r>
    </w:p>
    <w:p>
      <w:pPr>
        <w:pStyle w:val="Instructionsindent"/>
      </w:pPr>
      <w:r>
        <w:rPr/>
        <w:t xml:space="preserve">Tropical inland - North Queensland, Northern Territory, North-West Western Australia, Papua New Guinea and the Pacific Islands, except where affected by salinity, and</w:t>
      </w:r>
    </w:p>
    <w:p>
      <w:pPr>
        <w:pStyle w:val="Instructionsindent"/>
      </w:pPr>
      <w:r>
        <w:rPr/>
        <w:t xml:space="preserve">Very high - offshore and beach front locations and aggressive industrial environments where pH may be less than 5.</w:t>
      </w:r>
    </w:p>
    <w:p>
      <w:pPr>
        <w:pStyle w:val="Instructionsindent"/>
      </w:pPr>
      <w:r>
        <w:rPr/>
        <w:t xml:space="preserve">Refer to </w:t>
      </w:r>
      <w:r>
        <w:rPr>
          <w:i/>
        </w:rPr>
        <w:t xml:space="preserve">0171 General requirements</w:t>
      </w:r>
      <w:r>
        <w:rPr/>
        <w:t xml:space="preserve"> for the designation of the Exterior atmospheric corrosivity category of the project.</w:t>
      </w:r>
    </w:p>
    <w:bookmarkEnd w:id="34"/>
    <w:bookmarkEnd w:id="33"/>
    <w:bookmarkStart w:name="f-80609-content" w:id="36"/>
    <w:p>
      <w:pPr>
        <w:pStyle w:val="Heading3"/>
      </w:pPr>
      <w:bookmarkStart w:name="h-80609-content" w:id="37"/>
      <w:r>
        <w:rPr/>
        <w:t xml:space="preserve">Company contacts</w:t>
      </w:r>
      <w:bookmarkEnd w:id="37"/>
    </w:p>
    <w:bookmarkEnd w:id="36"/>
    <w:bookmarkStart w:name="f-117781" w:id="38"/>
    <w:bookmarkStart w:name="f-117781-1" w:id="39"/>
    <w:p>
      <w:pPr>
        <w:pStyle w:val="Heading4"/>
      </w:pPr>
      <w:bookmarkStart w:name="h-117781-1" w:id="40"/>
      <w:r>
        <w:rPr/>
        <w:t xml:space="preserve">FIELDERS technical contacts</w:t>
      </w:r>
      <w:bookmarkEnd w:id="40"/>
    </w:p>
    <w:p>
      <w:pPr>
        <w:pStyle w:val="Normal"/>
      </w:pPr>
      <w:r>
        <w:rPr/>
        <w:t xml:space="preserve">Website: </w:t>
      </w:r>
      <w:r>
        <w:fldChar w:fldCharType="begin"/>
      </w:r>
      <w:r>
        <w:instrText xml:space="preserve"> HYPERLINK "http://www.fielders.com.au/aspx/contact.aspx" </w:instrText>
      </w:r>
      <w:r>
        <w:fldChar w:fldCharType="separate"/>
      </w:r>
      <w:r>
        <w:rPr>
          <w:rStyle w:val="Hyperlink"/>
        </w:rPr>
        <w:t>www.fielders.com.au/aspx/contact.aspx</w:t>
      </w:r>
      <w:r>
        <w:fldChar w:fldCharType="end"/>
      </w:r>
    </w:p>
    <w:bookmarkEnd w:id="39"/>
    <w:bookmarkEnd w:id="38"/>
    <w:bookmarkStart w:name="f-67550-content" w:id="41"/>
    <w:p>
      <w:pPr>
        <w:pStyle w:val="Heading3"/>
      </w:pPr>
      <w:bookmarkStart w:name="h-67550-content" w:id="42"/>
      <w:r>
        <w:rPr/>
        <w:t xml:space="preserve">Cross references</w:t>
      </w:r>
      <w:bookmarkEnd w:id="42"/>
    </w:p>
    <w:bookmarkEnd w:id="41"/>
    <w:bookmarkStart w:name="f-99933" w:id="43"/>
    <w:bookmarkStart w:name="f-99933-4" w:id="44"/>
    <w:p>
      <w:pPr>
        <w:pStyle w:val="Heading4"/>
      </w:pPr>
      <w:bookmarkStart w:name="h-99933-4" w:id="45"/>
      <w:r>
        <w:rPr/>
        <w:t xml:space="preserve">General</w:t>
      </w:r>
      <w:bookmarkEnd w:id="45"/>
    </w:p>
    <w:p>
      <w:pPr>
        <w:pStyle w:val="Normal"/>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4"/>
    <w:bookmarkEnd w:id="43"/>
    <w:bookmarkStart w:name="f-97151-content" w:id="46"/>
    <w:p>
      <w:pPr>
        <w:pStyle w:val="Heading3"/>
      </w:pPr>
      <w:bookmarkStart w:name="h-97151-content" w:id="47"/>
      <w:r>
        <w:rPr/>
        <w:t xml:space="preserve">Manufacturer's documents</w:t>
      </w:r>
      <w:bookmarkEnd w:id="47"/>
    </w:p>
    <w:bookmarkEnd w:id="46"/>
    <w:bookmarkStart w:name="f-117753" w:id="48"/>
    <w:bookmarkStart w:name="f-117753-1" w:id="49"/>
    <w:p>
      <w:pPr>
        <w:pStyle w:val="Heading4"/>
      </w:pPr>
      <w:bookmarkStart w:name="h-117753-1" w:id="50"/>
      <w:r>
        <w:rPr/>
        <w:t xml:space="preserve">FIELDERS technical manuals</w:t>
      </w:r>
      <w:bookmarkEnd w:id="50"/>
    </w:p>
    <w:p>
      <w:pPr>
        <w:pStyle w:val="Normal"/>
      </w:pPr>
      <w:r>
        <w:rPr/>
        <w:t xml:space="preserve">Specifying FIELDERS Roofing and Walling Manual: </w:t>
      </w:r>
      <w:r>
        <w:fldChar w:fldCharType="begin"/>
      </w:r>
      <w:r>
        <w:instrText xml:space="preserve"> HYPERLINK "http://fielders.com.au/manuals-software/roofing-wallling-manual/" </w:instrText>
      </w:r>
      <w:r>
        <w:fldChar w:fldCharType="separate"/>
      </w:r>
      <w:r>
        <w:rPr>
          <w:rStyle w:val="Hyperlink"/>
        </w:rPr>
        <w:t>www.fielders.com.au/manuals-software/roofing-wallling-manual/</w:t>
      </w:r>
      <w:r>
        <w:fldChar w:fldCharType="end"/>
      </w:r>
    </w:p>
    <w:bookmarkEnd w:id="49"/>
    <w:bookmarkEnd w:id="48"/>
    <w:bookmarkStart w:name="f-99291-content" w:id="51"/>
    <w:p>
      <w:pPr>
        <w:pStyle w:val="Heading3"/>
      </w:pPr>
      <w:bookmarkStart w:name="h-99291-content" w:id="52"/>
      <w:r>
        <w:rPr/>
        <w:t xml:space="preserve">Tolerances</w:t>
      </w:r>
      <w:bookmarkEnd w:id="52"/>
    </w:p>
    <w:bookmarkEnd w:id="51"/>
    <w:bookmarkStart w:name="f-117737" w:id="53"/>
    <w:bookmarkStart w:name="f-117737-1" w:id="54"/>
    <w:p>
      <w:pPr>
        <w:pStyle w:val="Heading4"/>
      </w:pPr>
      <w:bookmarkStart w:name="h-117737-1" w:id="55"/>
      <w:r>
        <w:rPr/>
        <w:t xml:space="preserve">Permitted deviations</w:t>
      </w:r>
      <w:bookmarkEnd w:id="55"/>
    </w:p>
    <w:p>
      <w:pPr>
        <w:pStyle w:val="Normal"/>
      </w:pPr>
      <w:r>
        <w:rPr/>
        <w:t xml:space="preserve">Requirement: To AS 1562.1 clause 4.2.3 and FIELDERS recommendations.</w:t>
      </w:r>
    </w:p>
    <w:bookmarkEnd w:id="54"/>
    <w:bookmarkEnd w:id="53"/>
    <w:bookmarkStart w:name="f-93472-content" w:id="56"/>
    <w:p>
      <w:pPr>
        <w:pStyle w:val="Heading3"/>
      </w:pPr>
      <w:bookmarkStart w:name="h-93472-content" w:id="57"/>
      <w:r>
        <w:rPr/>
        <w:t xml:space="preserve">Submissions</w:t>
      </w:r>
      <w:bookmarkEnd w:id="57"/>
    </w:p>
    <w:bookmarkEnd w:id="56"/>
    <w:bookmarkStart w:name="f-117765" w:id="58"/>
    <w:bookmarkStart w:name="f-117765-1" w:id="59"/>
    <w:p>
      <w:pPr>
        <w:pStyle w:val="Heading4"/>
      </w:pPr>
      <w:bookmarkStart w:name="h-117765-1" w:id="60"/>
      <w:r>
        <w:rPr/>
        <w:t xml:space="preserve">Operation and maintenance manuals</w:t>
      </w:r>
      <w:bookmarkEnd w:id="60"/>
    </w:p>
    <w:p>
      <w:pPr>
        <w:pStyle w:val="Normal"/>
      </w:pPr>
      <w:r>
        <w:rPr/>
        <w:t xml:space="preserve">Requirement: Submit a manual of recommendations from </w:t>
      </w:r>
      <w:r>
        <w:rPr>
          <w:i/>
        </w:rPr>
        <w:t xml:space="preserve">Specifying FIELDERS Roofing and Walling Manual</w:t>
      </w:r>
      <w:r>
        <w:rPr/>
        <w:t xml:space="preserve"> for the maintenance of the cladding system, including frequency of inspection and recommended methods of access, inspection, cleaning, repair and replacement.</w:t>
      </w:r>
    </w:p>
    <w:p>
      <w:pPr>
        <w:pStyle w:val="Instructions"/>
      </w:pPr>
      <w:r>
        <w:rPr/>
        <w:t xml:space="preserve">Refer to Maintenance and Care in </w:t>
      </w:r>
      <w:r>
        <w:rPr>
          <w:i/>
        </w:rPr>
        <w:t xml:space="preserve">Specifying FIELDERS Roofing and Walling Manual</w:t>
      </w:r>
      <w:r>
        <w:rPr/>
        <w:t xml:space="preserve">.</w:t>
      </w:r>
    </w:p>
    <w:bookmarkEnd w:id="59"/>
    <w:bookmarkEnd w:id="58"/>
    <w:bookmarkStart w:name="f-117738" w:id="61"/>
    <w:bookmarkStart w:name="f-117738-1" w:id="62"/>
    <w:p>
      <w:pPr>
        <w:pStyle w:val="Heading4"/>
      </w:pPr>
      <w:bookmarkStart w:name="h-117738-1" w:id="63"/>
      <w:r>
        <w:rPr/>
        <w:t xml:space="preserve">Products and materials.</w:t>
      </w:r>
      <w:bookmarkEnd w:id="63"/>
    </w:p>
    <w:p>
      <w:pPr>
        <w:pStyle w:val="Normal"/>
      </w:pPr>
      <w:r>
        <w:rPr/>
        <w:t xml:space="preserve">Type tests: As appropriate for the project, submit evidence of conformity to the following:</w:t>
      </w:r>
    </w:p>
    <w:p>
      <w:pPr>
        <w:pStyle w:val="NormalIndent"/>
      </w:pPr>
      <w:r>
        <w:rPr/>
        <w:t xml:space="preserve">Metal cladding generally: Cladding and fastenings to AS 1562.1 clause 5.5 for resistance to wind pressure.</w:t>
      </w:r>
    </w:p>
    <w:p>
      <w:pPr>
        <w:pStyle w:val="NormalIndent"/>
      </w:pPr>
      <w:r>
        <w:rPr/>
        <w:t xml:space="preserve">Metal cladding in cyclonic regions to AS/NZS 1170.2: Cladding and fastenings to AS 1562.1 clause 5.6.</w:t>
      </w:r>
    </w:p>
    <w:p>
      <w:pPr>
        <w:pStyle w:val="Instructions"/>
      </w:pPr>
      <w:r>
        <w:rPr/>
        <w:t xml:space="preserve">Type tests are carried out before the contract. However, submission of evidence of a successful type test may be called up here for requirements specified in </w:t>
      </w:r>
      <w:r>
        <w:rPr>
          <w:b/>
        </w:rPr>
        <w:t xml:space="preserve">SELECTIONS</w:t>
      </w:r>
      <w:r>
        <w:rPr/>
        <w:t xml:space="preserve"> or </w:t>
      </w:r>
      <w:r>
        <w:rPr>
          <w:b/>
        </w:rPr>
        <w:t xml:space="preserve">PRODUCTS</w:t>
      </w:r>
      <w:r>
        <w:rPr/>
        <w:t xml:space="preserve"> when there are no </w:t>
      </w:r>
      <w:r>
        <w:rPr>
          <w:b/>
        </w:rPr>
        <w:t xml:space="preserve">SELECTIONS</w:t>
      </w:r>
      <w:r>
        <w:rPr/>
        <w:t xml:space="preserve">.</w:t>
      </w:r>
    </w:p>
    <w:bookmarkEnd w:id="62"/>
    <w:bookmarkEnd w:id="61"/>
    <w:bookmarkStart w:name="f-117725" w:id="64"/>
    <w:bookmarkStart w:name="f-117725-1" w:id="65"/>
    <w:p>
      <w:pPr>
        <w:pStyle w:val="Heading4"/>
      </w:pPr>
      <w:bookmarkStart w:name="h-117725-1" w:id="66"/>
      <w:r>
        <w:rPr/>
        <w:t xml:space="preserve">Samples </w:t>
      </w:r>
      <w:bookmarkEnd w:id="66"/>
    </w:p>
    <w:p>
      <w:pPr>
        <w:pStyle w:val="Instructions"/>
      </w:pPr>
      <w:r>
        <w:rPr/>
        <w:t xml:space="preserve">Approved samples are retained on site and define the acceptable limits of colour and texture variation.</w:t>
      </w:r>
    </w:p>
    <w:p>
      <w:pPr>
        <w:pStyle w:val="Normal"/>
      </w:pPr>
      <w:r>
        <w:rPr/>
        <w:t xml:space="preserve">Finish: Submit samples of the cladding material.</w:t>
      </w:r>
    </w:p>
    <w:bookmarkEnd w:id="65"/>
    <w:bookmarkEnd w:id="64"/>
    <w:bookmarkStart w:name="f-117731" w:id="67"/>
    <w:bookmarkStart w:name="f-117731-1" w:id="68"/>
    <w:p>
      <w:pPr>
        <w:pStyle w:val="Heading4"/>
      </w:pPr>
      <w:bookmarkStart w:name="h-117731-1" w:id="69"/>
      <w:r>
        <w:rPr/>
        <w:t xml:space="preserve">Subcontractors</w:t>
      </w:r>
      <w:bookmarkEnd w:id="69"/>
    </w:p>
    <w:p>
      <w:pPr>
        <w:pStyle w:val="Normal"/>
      </w:pPr>
      <w:r>
        <w:rPr/>
        <w:t xml:space="preserve">General: Submit names and contact details of proposed installers and evidence of installation experience.</w:t>
      </w:r>
    </w:p>
    <w:p>
      <w:pPr>
        <w:pStyle w:val="Prompt"/>
      </w:pPr>
      <w:r>
        <w:rPr/>
        <w:t xml:space="preserve">Evidence of experience: </w:t>
      </w:r>
      <w:r>
        <w:fldChar w:fldCharType="begin"/>
        <w:instrText xml:space="preserve"> MACROBUTTON  ac_OnHelp [complete/delete]</w:instrText>
        <w:fldChar w:fldCharType="separate"/>
        <w:t xml:space="preserve"> </w:t>
        <w:fldChar w:fldCharType="end"/>
      </w:r>
    </w:p>
    <w:p>
      <w:pPr>
        <w:pStyle w:val="Instructions"/>
      </w:pPr>
      <w:r>
        <w:rPr/>
        <w:t xml:space="preserve">e.g. Check conditions of warranty for panels selected. Delete if installer details are not required.</w:t>
      </w:r>
    </w:p>
    <w:bookmarkEnd w:id="68"/>
    <w:bookmarkEnd w:id="67"/>
    <w:bookmarkStart w:name="f-117758" w:id="70"/>
    <w:bookmarkStart w:name="f-117758-1" w:id="71"/>
    <w:p>
      <w:pPr>
        <w:pStyle w:val="Heading4"/>
      </w:pPr>
      <w:bookmarkStart w:name="h-117758-1" w:id="72"/>
      <w:r>
        <w:rPr/>
        <w:t xml:space="preserve">Warranties</w:t>
      </w:r>
      <w:bookmarkEnd w:id="72"/>
    </w:p>
    <w:p>
      <w:pPr>
        <w:pStyle w:val="Prompt"/>
      </w:pPr>
      <w:r>
        <w:rPr/>
        <w:t xml:space="preserve">Requirement: Submit the following: </w:t>
      </w:r>
      <w:r>
        <w:fldChar w:fldCharType="begin"/>
        <w:instrText xml:space="preserve"> MACROBUTTON  ac_OnHelp [complete/delete]</w:instrText>
        <w:fldChar w:fldCharType="separate"/>
        <w:t xml:space="preserve"> </w:t>
        <w:fldChar w:fldCharType="end"/>
      </w:r>
    </w:p>
    <w:p>
      <w:pPr>
        <w:pStyle w:val="Instructions"/>
      </w:pPr>
      <w:r>
        <w:rPr/>
        <w:t xml:space="preserve">Describe the requirements of warranties in </w:t>
      </w:r>
      <w:r>
        <w:rPr>
          <w:b/>
        </w:rPr>
        <w:t xml:space="preserve">PRODUCTS</w:t>
      </w:r>
      <w:r>
        <w:rPr/>
        <w:t xml:space="preserve"> or </w:t>
      </w:r>
      <w:r>
        <w:rPr>
          <w:b/>
        </w:rPr>
        <w:t xml:space="preserve">EXECUTION</w:t>
      </w:r>
      <w:r>
        <w:rPr/>
        <w:t xml:space="preserve">, as appropriate, and list the submissions required here. e.g. Interlocking warranty for sealant type and application.</w:t>
      </w:r>
    </w:p>
    <w:p>
      <w:pPr>
        <w:pStyle w:val="Normal"/>
      </w:pPr>
      <w:r>
        <w:rPr/>
        <w:t xml:space="preserve">Cladding materials: Submit the manufacturer’s product warranties.</w:t>
      </w:r>
    </w:p>
    <w:bookmarkEnd w:id="71"/>
    <w:bookmarkEnd w:id="70"/>
    <w:bookmarkStart w:name="f-94158-content" w:id="73"/>
    <w:p>
      <w:pPr>
        <w:pStyle w:val="Heading3"/>
      </w:pPr>
      <w:bookmarkStart w:name="h-94158-content" w:id="74"/>
      <w:r>
        <w:rPr/>
        <w:t xml:space="preserve">Inspection</w:t>
      </w:r>
      <w:bookmarkEnd w:id="74"/>
    </w:p>
    <w:bookmarkEnd w:id="73"/>
    <w:bookmarkStart w:name="f-117768" w:id="75"/>
    <w:bookmarkStart w:name="f-117768-1" w:id="76"/>
    <w:p>
      <w:pPr>
        <w:pStyle w:val="Heading4"/>
      </w:pPr>
      <w:bookmarkStart w:name="h-117768-1" w:id="77"/>
      <w:r>
        <w:rPr/>
        <w:t xml:space="preserve">Notice</w:t>
      </w:r>
      <w:bookmarkEnd w:id="77"/>
    </w:p>
    <w:p>
      <w:pPr>
        <w:pStyle w:val="Normal"/>
      </w:pPr>
      <w:r>
        <w:rPr/>
        <w:t xml:space="preserve">Inspection: Give notice so that inspection may be made of the following:</w:t>
      </w:r>
    </w:p>
    <w:p>
      <w:pPr>
        <w:pStyle w:val="NormalIndent"/>
      </w:pPr>
      <w:r>
        <w:rPr/>
        <w:t xml:space="preserve">Framing, sarking, vapour barrier and insulation before covering up or concealing.</w:t>
      </w:r>
    </w:p>
    <w:p>
      <w:pPr>
        <w:pStyle w:val="Instructions"/>
      </w:pPr>
      <w:r>
        <w:rPr/>
        <w:t xml:space="preserve">Amend to suit the project, adding critical stage inspections required.</w:t>
      </w:r>
    </w:p>
    <w:p>
      <w:pPr>
        <w:pStyle w:val="Instructions"/>
      </w:pPr>
      <w:r>
        <w:rPr>
          <w:b/>
        </w:rPr>
        <w:t xml:space="preserve">Hold points</w:t>
      </w:r>
      <w:r>
        <w:rPr/>
        <w:t xml:space="preserve">, if required, should be inserted here.</w:t>
      </w:r>
    </w:p>
    <w:bookmarkEnd w:id="76"/>
    <w:bookmarkEnd w:id="75"/>
    <w:bookmarkStart w:name="f-77077-content" w:id="78"/>
    <w:p>
      <w:pPr>
        <w:pStyle w:val="Heading2"/>
      </w:pPr>
      <w:bookmarkStart w:name="h-77077-content" w:id="79"/>
      <w:r>
        <w:rPr/>
        <w:t xml:space="preserve">Products</w:t>
      </w:r>
      <w:bookmarkEnd w:id="79"/>
    </w:p>
    <w:bookmarkEnd w:id="78"/>
    <w:bookmarkStart w:name="f-85531-content" w:id="80"/>
    <w:p>
      <w:pPr>
        <w:pStyle w:val="Heading3"/>
      </w:pPr>
      <w:bookmarkStart w:name="h-85531-content" w:id="81"/>
      <w:r>
        <w:rPr/>
        <w:t xml:space="preserve">General</w:t>
      </w:r>
      <w:bookmarkEnd w:id="81"/>
    </w:p>
    <w:bookmarkEnd w:id="80"/>
    <w:bookmarkStart w:name="f-117759" w:id="82"/>
    <w:bookmarkStart w:name="f-117759-1" w:id="83"/>
    <w:p>
      <w:pPr>
        <w:pStyle w:val="Heading4"/>
      </w:pPr>
      <w:bookmarkStart w:name="h-117759-1" w:id="84"/>
      <w:r>
        <w:rPr/>
        <w:t xml:space="preserve">Product substitution</w:t>
      </w:r>
      <w:bookmarkEnd w:id="84"/>
    </w:p>
    <w:p>
      <w:pPr>
        <w:pStyle w:val="Normal"/>
      </w:pPr>
      <w:r>
        <w:rPr/>
        <w:t xml:space="preserve">Other products: Conform to PRODUCTS, </w:t>
      </w:r>
      <w:r>
        <w:rPr>
          <w:b/>
        </w:rPr>
        <w:t xml:space="preserve">GENERAL</w:t>
      </w:r>
      <w:r>
        <w:rPr/>
        <w:t xml:space="preserve">, </w:t>
      </w:r>
      <w:r>
        <w:rPr>
          <w:b/>
        </w:rPr>
        <w:t xml:space="preserve">Substitutions</w:t>
      </w:r>
      <w:r>
        <w:rPr/>
        <w:t xml:space="preserve"> in </w:t>
      </w:r>
      <w:r>
        <w:rPr>
          <w:i/>
        </w:rPr>
        <w:t xml:space="preserve">0171 General requirements</w:t>
      </w:r>
      <w:r>
        <w:rPr/>
        <w:t xml:space="preserve"> .</w:t>
      </w:r>
    </w:p>
    <w:p>
      <w:pPr>
        <w:pStyle w:val="Instructions"/>
      </w:pPr>
      <w:r>
        <w:rPr/>
        <w:t xml:space="preserve">The </w:t>
      </w:r>
      <w:r>
        <w:rPr>
          <w:i/>
        </w:rPr>
        <w:t xml:space="preserve">0171 General requirements</w:t>
      </w:r>
      <w:r>
        <w:rPr/>
        <w:t xml:space="preserve"> worksection clause sets out the submissions required if the contractor proposes alternative products. Refer also to NATSPEC TECHnote GEN 006 for more information on proprietary specification.</w:t>
      </w:r>
    </w:p>
    <w:bookmarkEnd w:id="83"/>
    <w:bookmarkEnd w:id="82"/>
    <w:bookmarkStart w:name="f-117729" w:id="85"/>
    <w:bookmarkStart w:name="f-117729-1" w:id="86"/>
    <w:p>
      <w:pPr>
        <w:pStyle w:val="Heading4"/>
      </w:pPr>
      <w:bookmarkStart w:name="h-117729-1" w:id="87"/>
      <w:r>
        <w:rPr/>
        <w:t xml:space="preserve">Storage and handling</w:t>
      </w:r>
      <w:bookmarkEnd w:id="87"/>
    </w:p>
    <w:p>
      <w:pPr>
        <w:pStyle w:val="Normal"/>
      </w:pPr>
      <w:r>
        <w:rPr/>
        <w:t xml:space="preserve">Requirement: Store and handle materials to the manufacturer’s recommendations and the following:</w:t>
      </w:r>
    </w:p>
    <w:p>
      <w:pPr>
        <w:pStyle w:val="NormalIndent"/>
      </w:pPr>
      <w:r>
        <w:rPr/>
        <w:t xml:space="preserve">Protect materials including edges and surfaces from damage.</w:t>
      </w:r>
    </w:p>
    <w:p>
      <w:pPr>
        <w:pStyle w:val="NormalIndent"/>
      </w:pPr>
      <w:r>
        <w:rPr/>
        <w:t xml:space="preserve">Do not drag sheets across each other or over other materials.</w:t>
      </w:r>
    </w:p>
    <w:p>
      <w:pPr>
        <w:pStyle w:val="NormalIndent"/>
      </w:pPr>
      <w:r>
        <w:rPr/>
        <w:t xml:space="preserve">Store metal materials away from uncured concrete and masonry on a level base.</w:t>
      </w:r>
    </w:p>
    <w:p>
      <w:pPr>
        <w:pStyle w:val="NormalIndent"/>
      </w:pPr>
      <w:r>
        <w:rPr/>
        <w:t xml:space="preserve">Do not store metal materials in contact with other materials which may cause staining, denting or other surface damage.</w:t>
      </w:r>
    </w:p>
    <w:p>
      <w:pPr>
        <w:pStyle w:val="NormalIndent"/>
      </w:pPr>
      <w:r>
        <w:rPr/>
        <w:t xml:space="preserve">Use gloves when handling precoated metal cladding material.</w:t>
      </w:r>
    </w:p>
    <w:bookmarkEnd w:id="86"/>
    <w:bookmarkEnd w:id="85"/>
    <w:bookmarkStart w:name="f-100631" w:id="88"/>
    <w:bookmarkStart w:name="f-100631-1" w:id="89"/>
    <w:p>
      <w:pPr>
        <w:pStyle w:val="Heading4"/>
      </w:pPr>
      <w:bookmarkStart w:name="h-100631-1" w:id="90"/>
      <w:r>
        <w:rPr/>
        <w:t xml:space="preserve">Product identification</w:t>
      </w:r>
      <w:bookmarkEnd w:id="90"/>
    </w:p>
    <w:p>
      <w:pPr>
        <w:pStyle w:val="Normal"/>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89"/>
    <w:bookmarkEnd w:id="88"/>
    <w:bookmarkStart w:name="f-117724" w:id="91"/>
    <w:bookmarkStart w:name="f-117724-1" w:id="92"/>
    <w:p>
      <w:pPr>
        <w:pStyle w:val="Heading3"/>
      </w:pPr>
      <w:bookmarkStart w:name="h-117724-1" w:id="93"/>
      <w:r>
        <w:rPr/>
        <w:t xml:space="preserve">FIELDERS Specialised panels</w:t>
      </w:r>
      <w:bookmarkEnd w:id="93"/>
    </w:p>
    <w:p>
      <w:pPr>
        <w:pStyle w:val="Instructions"/>
      </w:pPr>
      <w:r>
        <w:rPr/>
        <w:t xml:space="preserve">The Finesse</w:t>
      </w:r>
      <w:r>
        <w:rPr>
          <w:vertAlign w:val="superscript"/>
        </w:rPr>
        <w:t xml:space="preserve">®</w:t>
      </w:r>
      <w:r>
        <w:rPr/>
        <w:t xml:space="preserve"> range includes: Shadowline</w:t>
      </w:r>
      <w:r>
        <w:rPr>
          <w:vertAlign w:val="superscript"/>
        </w:rPr>
        <w:t xml:space="preserve">™</w:t>
      </w:r>
      <w:r>
        <w:rPr/>
        <w:t xml:space="preserve"> 305, Shadowline</w:t>
      </w:r>
      <w:r>
        <w:rPr>
          <w:vertAlign w:val="superscript"/>
        </w:rPr>
        <w:t xml:space="preserve">™</w:t>
      </w:r>
      <w:r>
        <w:rPr/>
        <w:t xml:space="preserve"> WA, Neo-Roman</w:t>
      </w:r>
      <w:r>
        <w:rPr>
          <w:vertAlign w:val="superscript"/>
        </w:rPr>
        <w:t xml:space="preserve">™</w:t>
      </w:r>
      <w:r>
        <w:rPr/>
        <w:t xml:space="preserve">, Prominence</w:t>
      </w:r>
      <w:r>
        <w:rPr>
          <w:vertAlign w:val="superscript"/>
        </w:rPr>
        <w:t xml:space="preserve">™</w:t>
      </w:r>
      <w:r>
        <w:rPr/>
        <w:t xml:space="preserve">, Boulevard</w:t>
      </w:r>
      <w:r>
        <w:rPr>
          <w:vertAlign w:val="superscript"/>
        </w:rPr>
        <w:t xml:space="preserve">™</w:t>
      </w:r>
      <w:r>
        <w:rPr/>
        <w:t xml:space="preserve"> and Grandeur</w:t>
      </w:r>
      <w:r>
        <w:rPr>
          <w:vertAlign w:val="superscript"/>
        </w:rPr>
        <w:t xml:space="preserve">™</w:t>
      </w:r>
      <w:r>
        <w:rPr/>
        <w:t xml:space="preserve">. Other FIELDERS products available include Aramax and Freeform. If using one of these systems, contact FIELDERS for design and technical assistance.</w:t>
      </w:r>
    </w:p>
    <w:bookmarkEnd w:id="92"/>
    <w:bookmarkEnd w:id="91"/>
    <w:bookmarkStart w:name="f-117755" w:id="94"/>
    <w:bookmarkStart w:name="f-117755-title" w:id="95"/>
    <w:p>
      <w:pPr>
        <w:pStyle w:val="Heading4"/>
      </w:pPr>
      <w:bookmarkStart w:name="h-117755-title" w:id="96"/>
      <w:r>
        <w:rPr/>
        <w:t xml:space="preserve">General</w:t>
      </w:r>
      <w:bookmarkEnd w:id="96"/>
    </w:p>
    <w:p>
      <w:pPr>
        <w:pStyle w:val="Normal"/>
      </w:pPr>
      <w:r>
        <w:rPr/>
        <w:t xml:space="preserve">Requirement: FIELDERS profiled specialised cladding panels.</w:t>
      </w:r>
    </w:p>
    <w:p>
      <w:pPr>
        <w:pStyle w:val="Normal"/>
      </w:pPr>
      <w:r>
        <w:rPr/>
        <w:t xml:space="preserve">Design and installation: To AS 1562.1.</w:t>
      </w:r>
    </w:p>
    <w:p>
      <w:pPr>
        <w:pStyle w:val="Normal"/>
      </w:pPr>
      <w:r>
        <w:rPr/>
        <w:t xml:space="preserve">Selection: To the </w:t>
      </w:r>
      <w:r>
        <w:rPr>
          <w:b/>
        </w:rPr>
        <w:t xml:space="preserve">FIELDERS specialised panel cladding schedule</w:t>
      </w:r>
      <w:r>
        <w:rPr/>
        <w:t xml:space="preserve">.</w:t>
      </w:r>
    </w:p>
    <w:bookmarkEnd w:id="95"/>
    <w:bookmarkEnd w:id="94"/>
    <w:bookmarkStart w:name="f-78574" w:id="97"/>
    <w:bookmarkStart w:name="f-78574-content" w:id="98"/>
    <w:p>
      <w:pPr>
        <w:pStyle w:val="Heading3"/>
      </w:pPr>
      <w:bookmarkStart w:name="h-78574-content" w:id="99"/>
      <w:r>
        <w:rPr/>
        <w:t xml:space="preserve">Substrate</w:t>
      </w:r>
      <w:bookmarkEnd w:id="99"/>
    </w:p>
    <w:bookmarkEnd w:id="98"/>
    <w:bookmarkEnd w:id="97"/>
    <w:bookmarkStart w:name="f-117720" w:id="100"/>
    <w:bookmarkStart w:name="f-117720-1" w:id="101"/>
    <w:p>
      <w:pPr>
        <w:pStyle w:val="Heading4"/>
      </w:pPr>
      <w:bookmarkStart w:name="h-117720-1" w:id="102"/>
      <w:r>
        <w:rPr/>
        <w:t xml:space="preserve">Plywood sheeting</w:t>
      </w:r>
      <w:bookmarkEnd w:id="102"/>
    </w:p>
    <w:p>
      <w:pPr>
        <w:pStyle w:val="Instructions"/>
      </w:pPr>
      <w:r>
        <w:rPr/>
        <w:t xml:space="preserve">This subclause is required for Neo Roman™, Prominence™ over 265 mm width and Grandeur™ over 325 mm width profiles only. Delete where not required.</w:t>
      </w:r>
    </w:p>
    <w:p>
      <w:pPr>
        <w:pStyle w:val="Normal"/>
      </w:pPr>
      <w:r>
        <w:rPr/>
        <w:t xml:space="preserve">Standard: To AS/NZS 2269.0:</w:t>
      </w:r>
    </w:p>
    <w:p>
      <w:pPr>
        <w:pStyle w:val="NormalIndent"/>
      </w:pPr>
      <w:r>
        <w:rPr/>
        <w:t xml:space="preserve">Surface grade: CD.</w:t>
      </w:r>
    </w:p>
    <w:p>
      <w:pPr>
        <w:pStyle w:val="Instructions"/>
      </w:pPr>
      <w:r>
        <w:rPr/>
        <w:t xml:space="preserve">AS/NZS 2269.0 defines five veneer qualities A, S, C and D, the lowest grade.</w:t>
      </w:r>
    </w:p>
    <w:p>
      <w:pPr>
        <w:pStyle w:val="NormalIndent"/>
      </w:pPr>
      <w:r>
        <w:rPr/>
        <w:t xml:space="preserve">Bond: Type A.</w:t>
      </w:r>
    </w:p>
    <w:p>
      <w:pPr>
        <w:pStyle w:val="NormalIndent"/>
      </w:pPr>
      <w:r>
        <w:rPr/>
        <w:t xml:space="preserve">Plywood formaldehyde emission class: E</w:t>
      </w:r>
      <w:r>
        <w:rPr>
          <w:vertAlign w:val="subscript"/>
        </w:rPr>
        <w:t xml:space="preserve">1</w:t>
      </w:r>
      <w:r>
        <w:rPr/>
        <w:t xml:space="preserve">.</w:t>
      </w:r>
    </w:p>
    <w:p>
      <w:pPr>
        <w:pStyle w:val="Instructions"/>
      </w:pPr>
      <w:r>
        <w:rPr/>
        <w:t xml:space="preserve">Super E</w:t>
      </w:r>
      <w:r>
        <w:rPr>
          <w:vertAlign w:val="subscript"/>
        </w:rPr>
        <w:t xml:space="preserve">0</w:t>
      </w:r>
      <w:r>
        <w:rPr/>
        <w:t xml:space="preserve"> and E</w:t>
      </w:r>
      <w:r>
        <w:rPr>
          <w:vertAlign w:val="subscript"/>
        </w:rPr>
        <w:t xml:space="preserve">0</w:t>
      </w:r>
      <w:r>
        <w:rPr/>
        <w:t xml:space="preserve"> class may be available at additional cost and lead time. A formaldehyde emission class E</w:t>
      </w:r>
      <w:r>
        <w:rPr>
          <w:vertAlign w:val="subscript"/>
        </w:rPr>
        <w:t xml:space="preserve">1</w:t>
      </w:r>
      <w:r>
        <w:rPr/>
        <w:t xml:space="preserve"> or less can improve indoor air quality.</w:t>
      </w:r>
    </w:p>
    <w:p>
      <w:pPr>
        <w:pStyle w:val="Normal"/>
      </w:pPr>
      <w:r>
        <w:rPr/>
        <w:t xml:space="preserve">Thickness: 15 mm.</w:t>
      </w:r>
    </w:p>
    <w:p>
      <w:pPr>
        <w:pStyle w:val="Normal"/>
      </w:pPr>
      <w:r>
        <w:rPr/>
        <w:t xml:space="preserve">Identification: Sheets labelled under the authority of a recognised certification scheme to </w:t>
      </w:r>
      <w:r>
        <w:rPr>
          <w:i/>
        </w:rPr>
        <w:t xml:space="preserve">0185 Timber products, finishes and treatment</w:t>
      </w:r>
      <w:r>
        <w:rPr>
          <w:i/>
        </w:rPr>
        <w:t xml:space="preserve">.</w:t>
      </w:r>
    </w:p>
    <w:p>
      <w:pPr>
        <w:pStyle w:val="Instructions"/>
      </w:pPr>
      <w:r>
        <w:rPr/>
        <w:t xml:space="preserve">Nominate the relevant certification schemes in </w:t>
      </w:r>
      <w:r>
        <w:rPr>
          <w:i/>
        </w:rPr>
        <w:t xml:space="preserve">0185 Timber products, finishes and treatment</w:t>
      </w:r>
      <w:r>
        <w:rPr/>
        <w:t xml:space="preserve">.</w:t>
      </w:r>
    </w:p>
    <w:bookmarkEnd w:id="101"/>
    <w:bookmarkEnd w:id="100"/>
    <w:bookmarkStart w:name="f-79164-content" w:id="103"/>
    <w:p>
      <w:pPr>
        <w:pStyle w:val="Heading3"/>
      </w:pPr>
      <w:bookmarkStart w:name="h-79164-content" w:id="104"/>
      <w:r>
        <w:rPr/>
        <w:t xml:space="preserve">Components</w:t>
      </w:r>
      <w:bookmarkEnd w:id="104"/>
    </w:p>
    <w:bookmarkEnd w:id="103"/>
    <w:bookmarkStart w:name="f-117770" w:id="105"/>
    <w:bookmarkStart w:name="f-117770-1" w:id="106"/>
    <w:p>
      <w:pPr>
        <w:pStyle w:val="Heading4"/>
      </w:pPr>
      <w:bookmarkStart w:name="h-117770-1" w:id="107"/>
      <w:r>
        <w:rPr/>
        <w:t xml:space="preserve">Fasteners</w:t>
      </w:r>
      <w:bookmarkEnd w:id="107"/>
    </w:p>
    <w:p>
      <w:pPr>
        <w:pStyle w:val="Normal"/>
      </w:pPr>
      <w:r>
        <w:rPr/>
        <w:t xml:space="preserve">Type, size, corrosion resistance class and spacing: To FIELDERS recommendations.</w:t>
      </w:r>
    </w:p>
    <w:p>
      <w:pPr>
        <w:pStyle w:val="Instructions"/>
      </w:pPr>
      <w:r>
        <w:rPr/>
        <w:t xml:space="preserve">Refer to FIELDERS Head Office.</w:t>
      </w:r>
    </w:p>
    <w:p>
      <w:pPr>
        <w:pStyle w:val="Normal"/>
      </w:pPr>
      <w:r>
        <w:rPr/>
        <w:t xml:space="preserve">Self drilling screw material: Stainless steel.</w:t>
      </w:r>
    </w:p>
    <w:p>
      <w:pPr>
        <w:pStyle w:val="Normal"/>
      </w:pPr>
      <w:r>
        <w:rPr/>
        <w:t xml:space="preserve">Screw fixed fastening clips:</w:t>
      </w:r>
    </w:p>
    <w:p>
      <w:pPr>
        <w:pStyle w:val="NormalIndent"/>
      </w:pPr>
      <w:r>
        <w:rPr/>
        <w:t xml:space="preserve">Minimum screw pull out strength: 500 N.</w:t>
      </w:r>
    </w:p>
    <w:p>
      <w:pPr>
        <w:pStyle w:val="Promptindent"/>
      </w:pPr>
      <w:r>
        <w:rPr/>
        <w:t xml:space="preserve">Screws: </w:t>
      </w:r>
      <w:r>
        <w:fldChar w:fldCharType="begin"/>
        <w:instrText xml:space="preserve"> MACROBUTTON  ac_OnHelp [complete/delete]</w:instrText>
        <w:fldChar w:fldCharType="separate"/>
        <w:t xml:space="preserve"> </w:t>
        <w:fldChar w:fldCharType="end"/>
      </w:r>
    </w:p>
    <w:p>
      <w:pPr>
        <w:pStyle w:val="Instructions"/>
      </w:pPr>
      <w:r>
        <w:rPr/>
        <w:t xml:space="preserve">Refer to FIELDERS Head Office.</w:t>
      </w:r>
    </w:p>
    <w:p>
      <w:pPr>
        <w:pStyle w:val="Normal"/>
      </w:pPr>
      <w:r>
        <w:rPr/>
        <w:t xml:space="preserve">Finish for exposed fasteners on coloured cladding: Prefinish exposed fasteners with an oven baked polymer coating to match the cladding material.</w:t>
      </w:r>
    </w:p>
    <w:bookmarkEnd w:id="106"/>
    <w:bookmarkEnd w:id="105"/>
    <w:bookmarkStart w:name="f-117739" w:id="108"/>
    <w:bookmarkStart w:name="f-117739-1" w:id="109"/>
    <w:p>
      <w:pPr>
        <w:pStyle w:val="Heading4"/>
      </w:pPr>
      <w:bookmarkStart w:name="h-117739-1" w:id="110"/>
      <w:r>
        <w:rPr/>
        <w:t xml:space="preserve">FIELDERS flashings, cappings and accessories</w:t>
      </w:r>
      <w:bookmarkEnd w:id="110"/>
    </w:p>
    <w:p>
      <w:pPr>
        <w:pStyle w:val="Normal"/>
      </w:pPr>
      <w:r>
        <w:rPr/>
        <w:t xml:space="preserve">Standard: To AS/NZS 2904.</w:t>
      </w:r>
    </w:p>
    <w:p>
      <w:pPr>
        <w:pStyle w:val="Instructions"/>
      </w:pPr>
      <w:r>
        <w:rPr/>
        <w:t xml:space="preserve">Coordinate with </w:t>
      </w:r>
      <w:r>
        <w:rPr>
          <w:i/>
        </w:rPr>
        <w:t xml:space="preserve">0423p FIELDERS roofing - profiled sheet metal</w:t>
      </w:r>
      <w:r>
        <w:rPr/>
        <w:t xml:space="preserve">.</w:t>
      </w:r>
    </w:p>
    <w:p>
      <w:pPr>
        <w:pStyle w:val="Normal"/>
      </w:pPr>
      <w:r>
        <w:rPr/>
        <w:t xml:space="preserve">Product: FIELDERS.</w:t>
      </w:r>
    </w:p>
    <w:p>
      <w:pPr>
        <w:pStyle w:val="Normal"/>
      </w:pPr>
      <w:r>
        <w:rPr/>
        <w:t xml:space="preserve">Material and colour: Match wall sheeting.</w:t>
      </w:r>
    </w:p>
    <w:p>
      <w:pPr>
        <w:pStyle w:val="Normal"/>
      </w:pPr>
      <w:r>
        <w:rPr/>
        <w:t xml:space="preserve">Rib notching: Match wall sheeting.</w:t>
      </w:r>
    </w:p>
    <w:bookmarkEnd w:id="109"/>
    <w:bookmarkEnd w:id="108"/>
    <w:bookmarkStart w:name="f-117756" w:id="111"/>
    <w:bookmarkStart w:name="f-117756-1" w:id="112"/>
    <w:p>
      <w:pPr>
        <w:pStyle w:val="Heading4"/>
      </w:pPr>
      <w:bookmarkStart w:name="h-117756-1" w:id="113"/>
      <w:r>
        <w:rPr/>
        <w:t xml:space="preserve">Fillers and sealants</w:t>
      </w:r>
      <w:bookmarkEnd w:id="113"/>
    </w:p>
    <w:p>
      <w:pPr>
        <w:pStyle w:val="Normal"/>
      </w:pPr>
      <w:r>
        <w:rPr/>
        <w:t xml:space="preserve">Profiled fillers: Purpose-made closed cell polyethylene foam profiled to match the cladding profile.</w:t>
      </w:r>
    </w:p>
    <w:p>
      <w:pPr>
        <w:pStyle w:val="Instructions"/>
      </w:pPr>
      <w:r>
        <w:rPr/>
        <w:t xml:space="preserve">Add locations as required.</w:t>
      </w:r>
    </w:p>
    <w:p>
      <w:pPr>
        <w:pStyle w:val="Normal"/>
      </w:pPr>
      <w:r>
        <w:rPr/>
        <w:t xml:space="preserve">Sealant: 100% natural cure non-acid based silicone rubber to match cladding.</w:t>
      </w:r>
    </w:p>
    <w:bookmarkEnd w:id="112"/>
    <w:bookmarkEnd w:id="111"/>
    <w:bookmarkStart w:name="f-92521-content" w:id="114"/>
    <w:p>
      <w:pPr>
        <w:pStyle w:val="Heading2"/>
      </w:pPr>
      <w:bookmarkStart w:name="h-92521-content" w:id="115"/>
      <w:r>
        <w:rPr/>
        <w:t xml:space="preserve">Execution</w:t>
      </w:r>
      <w:bookmarkEnd w:id="115"/>
    </w:p>
    <w:bookmarkEnd w:id="114"/>
    <w:bookmarkStart w:name="f-117761" w:id="116"/>
    <w:bookmarkStart w:name="f-117761-title" w:id="117"/>
    <w:p>
      <w:pPr>
        <w:pStyle w:val="Heading3"/>
      </w:pPr>
      <w:bookmarkStart w:name="h-117761-title" w:id="118"/>
      <w:r>
        <w:rPr/>
        <w:t xml:space="preserve">Preparation</w:t>
      </w:r>
      <w:bookmarkEnd w:id="118"/>
    </w:p>
    <w:bookmarkEnd w:id="117"/>
    <w:bookmarkEnd w:id="116"/>
    <w:bookmarkStart w:name="f-117748" w:id="119"/>
    <w:bookmarkStart w:name="f-117748-1" w:id="120"/>
    <w:p>
      <w:pPr>
        <w:pStyle w:val="Heading4"/>
      </w:pPr>
      <w:bookmarkStart w:name="h-117748-1" w:id="121"/>
      <w:r>
        <w:rPr/>
        <w:t xml:space="preserve">Substrates or framing</w:t>
      </w:r>
      <w:bookmarkEnd w:id="121"/>
    </w:p>
    <w:p>
      <w:pPr>
        <w:pStyle w:val="Normal"/>
      </w:pPr>
      <w:r>
        <w:rPr/>
        <w:t xml:space="preserve">Requirement: Before fixing cladding, check the alignment of substrates or framing and adjust if required.</w:t>
      </w:r>
    </w:p>
    <w:p>
      <w:pPr>
        <w:pStyle w:val="Normal"/>
      </w:pPr>
      <w:r>
        <w:rPr/>
        <w:t xml:space="preserve">Flexible underlay: Check that the underlay is restrained.</w:t>
      </w:r>
    </w:p>
    <w:bookmarkEnd w:id="120"/>
    <w:bookmarkEnd w:id="119"/>
    <w:bookmarkStart w:name="f-85895-content" w:id="122"/>
    <w:p>
      <w:pPr>
        <w:pStyle w:val="Heading3"/>
      </w:pPr>
      <w:bookmarkStart w:name="h-85895-content" w:id="123"/>
      <w:r>
        <w:rPr/>
        <w:t xml:space="preserve">Installation</w:t>
      </w:r>
      <w:bookmarkEnd w:id="123"/>
    </w:p>
    <w:bookmarkEnd w:id="122"/>
    <w:bookmarkStart w:name="f-117735" w:id="124"/>
    <w:bookmarkStart w:name="f-117735-1" w:id="125"/>
    <w:p>
      <w:pPr>
        <w:pStyle w:val="Heading4"/>
      </w:pPr>
      <w:bookmarkStart w:name="h-117735-1" w:id="126"/>
      <w:r>
        <w:rPr/>
        <w:t xml:space="preserve">General</w:t>
      </w:r>
      <w:bookmarkEnd w:id="126"/>
    </w:p>
    <w:p>
      <w:pPr>
        <w:pStyle w:val="Normal"/>
      </w:pPr>
      <w:r>
        <w:rPr/>
        <w:t xml:space="preserve">Requirement: To </w:t>
      </w:r>
      <w:r>
        <w:rPr>
          <w:i/>
        </w:rPr>
        <w:t xml:space="preserve">Specifying FIELDERS Roofing and Walling Manual.</w:t>
      </w:r>
    </w:p>
    <w:p>
      <w:pPr>
        <w:pStyle w:val="Normal"/>
      </w:pPr>
      <w:r>
        <w:rPr/>
        <w:t xml:space="preserve">Fixing method: As documented or to the following:</w:t>
      </w:r>
    </w:p>
    <w:p>
      <w:pPr>
        <w:pStyle w:val="NormalIndent"/>
      </w:pPr>
      <w:r>
        <w:rPr/>
        <w:t xml:space="preserve">Steel and timber framing: Screw.</w:t>
      </w:r>
    </w:p>
    <w:p>
      <w:pPr>
        <w:pStyle w:val="NormalIndent"/>
      </w:pPr>
      <w:r>
        <w:rPr/>
        <w:t xml:space="preserve">Minimum penetration for profiled metal sheets: 30 mm for timber framing.</w:t>
      </w:r>
    </w:p>
    <w:bookmarkEnd w:id="125"/>
    <w:bookmarkEnd w:id="124"/>
    <w:bookmarkStart w:name="f-117742" w:id="127"/>
    <w:bookmarkStart w:name="f-117742-1" w:id="128"/>
    <w:p>
      <w:pPr>
        <w:pStyle w:val="Heading4"/>
      </w:pPr>
      <w:bookmarkStart w:name="h-117742-1" w:id="129"/>
      <w:r>
        <w:rPr/>
        <w:t xml:space="preserve">Accessories and trim</w:t>
      </w:r>
      <w:bookmarkEnd w:id="129"/>
    </w:p>
    <w:p>
      <w:pPr>
        <w:pStyle w:val="Normal"/>
      </w:pPr>
      <w:r>
        <w:rPr/>
        <w:t xml:space="preserve">Requirement: Provide accessories and trim required to complete the installation.</w:t>
      </w:r>
    </w:p>
    <w:p>
      <w:pPr>
        <w:pStyle w:val="Normal"/>
      </w:pPr>
      <w:r>
        <w:rPr/>
        <w:t xml:space="preserve">Corner flashing for profiled and seamed metal sheets: Finish off at corners with purpose-made folded flashing strips.</w:t>
      </w:r>
    </w:p>
    <w:bookmarkEnd w:id="128"/>
    <w:bookmarkEnd w:id="127"/>
    <w:bookmarkStart w:name="f-117722" w:id="130"/>
    <w:bookmarkStart w:name="f-117722-1" w:id="131"/>
    <w:p>
      <w:pPr>
        <w:pStyle w:val="Heading4"/>
      </w:pPr>
      <w:bookmarkStart w:name="h-117722-1" w:id="132"/>
      <w:r>
        <w:rPr/>
        <w:t xml:space="preserve">Metal separation </w:t>
      </w:r>
      <w:bookmarkEnd w:id="132"/>
    </w:p>
    <w:p>
      <w:pPr>
        <w:pStyle w:val="Instructions"/>
      </w:pPr>
      <w:r>
        <w:rPr/>
        <w:t xml:space="preserve">Design for compatibility or detail separation.</w:t>
      </w:r>
    </w:p>
    <w:p>
      <w:pPr>
        <w:pStyle w:val="Normal"/>
      </w:pPr>
      <w:r>
        <w:rPr/>
        <w:t xml:space="preserve">Requirement: Prevent direct contact between incompatible metals, and between green hardwood or chemically treated timber and aluminium or coated steel, by either of the following methods:</w:t>
      </w:r>
    </w:p>
    <w:p>
      <w:pPr>
        <w:pStyle w:val="NormalIndent"/>
      </w:pPr>
      <w:r>
        <w:rPr/>
        <w:t xml:space="preserve">Apply an anti-corrosion, low moisture transmission coating to contact surfaces.</w:t>
      </w:r>
    </w:p>
    <w:p>
      <w:pPr>
        <w:pStyle w:val="NormalIndent"/>
      </w:pPr>
      <w:r>
        <w:rPr/>
        <w:t xml:space="preserve">Insert a separation layer.</w:t>
      </w:r>
    </w:p>
    <w:p>
      <w:pPr>
        <w:pStyle w:val="Normal"/>
      </w:pPr>
      <w:r>
        <w:rPr/>
        <w:t xml:space="preserve">Incompatible metal fixings: Do not use.</w:t>
      </w:r>
    </w:p>
    <w:bookmarkEnd w:id="131"/>
    <w:bookmarkEnd w:id="130"/>
    <w:bookmarkStart w:name="f-117751" w:id="133"/>
    <w:bookmarkStart w:name="f-117751-title" w:id="134"/>
    <w:p>
      <w:pPr>
        <w:pStyle w:val="Heading3"/>
      </w:pPr>
      <w:bookmarkStart w:name="h-117751-title" w:id="135"/>
      <w:r>
        <w:rPr/>
        <w:t xml:space="preserve">FIELDERS specialised panel cladding</w:t>
      </w:r>
      <w:bookmarkEnd w:id="135"/>
    </w:p>
    <w:bookmarkEnd w:id="134"/>
    <w:bookmarkEnd w:id="133"/>
    <w:bookmarkStart w:name="f-117778" w:id="136"/>
    <w:bookmarkStart w:name="f-117778-1" w:id="137"/>
    <w:p>
      <w:pPr>
        <w:pStyle w:val="Heading4"/>
      </w:pPr>
      <w:bookmarkStart w:name="h-117778-1" w:id="138"/>
      <w:r>
        <w:rPr/>
        <w:t xml:space="preserve">Fabrication</w:t>
      </w:r>
      <w:bookmarkEnd w:id="138"/>
    </w:p>
    <w:p>
      <w:pPr>
        <w:pStyle w:val="Normal"/>
      </w:pPr>
      <w:r>
        <w:rPr/>
        <w:t xml:space="preserve">Requirement: Factory fabricate cladding trays.</w:t>
      </w:r>
    </w:p>
    <w:p>
      <w:pPr>
        <w:pStyle w:val="Normal"/>
      </w:pPr>
      <w:r>
        <w:rPr/>
        <w:t xml:space="preserve">Minimum bending radius: 1.75 mm.</w:t>
      </w:r>
    </w:p>
    <w:bookmarkEnd w:id="137"/>
    <w:bookmarkEnd w:id="136"/>
    <w:bookmarkStart w:name="f-117734" w:id="139"/>
    <w:bookmarkStart w:name="f-117734-1" w:id="140"/>
    <w:p>
      <w:pPr>
        <w:pStyle w:val="Heading4"/>
      </w:pPr>
      <w:bookmarkStart w:name="h-117734-1" w:id="141"/>
      <w:r>
        <w:rPr/>
        <w:t xml:space="preserve">Installation</w:t>
      </w:r>
      <w:bookmarkEnd w:id="141"/>
    </w:p>
    <w:p>
      <w:pPr>
        <w:pStyle w:val="Prompt"/>
      </w:pPr>
      <w:r>
        <w:rPr/>
        <w:t xml:space="preserve">Fixing start location: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fixing to proceed from leeward to the windward of prevailing wind.</w:t>
      </w:r>
    </w:p>
    <w:p>
      <w:pPr>
        <w:pStyle w:val="Prompt"/>
      </w:pPr>
      <w:r>
        <w:rPr/>
        <w:t xml:space="preserve">Expansion joints: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Expansion joints should be provided every 35 m in sheet length for walls with concealed fixings and 24 m in sheet length for walls with exposed fixings.</w:t>
      </w:r>
    </w:p>
    <w:p>
      <w:pPr>
        <w:pStyle w:val="Prompt"/>
      </w:pPr>
      <w:r>
        <w:rPr/>
        <w:t xml:space="preserve">Clip spacing: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Contact FIELDERS for guidance on the number of fixing clips per sheet of Aluminium with respect to weather and site conditions, and exposure to wind of various parts of the roof.</w:t>
      </w:r>
    </w:p>
    <w:bookmarkEnd w:id="140"/>
    <w:bookmarkEnd w:id="139"/>
    <w:bookmarkStart w:name="f-2_78574" w:id="142"/>
    <w:bookmarkStart w:name="f-2_78574-content" w:id="143"/>
    <w:p>
      <w:pPr>
        <w:pStyle w:val="Heading3"/>
      </w:pPr>
      <w:bookmarkStart w:name="h-2_78574-content" w:id="144"/>
      <w:r>
        <w:rPr/>
        <w:t xml:space="preserve">Substrate</w:t>
      </w:r>
      <w:bookmarkEnd w:id="144"/>
    </w:p>
    <w:bookmarkEnd w:id="143"/>
    <w:bookmarkEnd w:id="142"/>
    <w:bookmarkStart w:name="f-117772" w:id="145"/>
    <w:bookmarkStart w:name="f-117772-1" w:id="146"/>
    <w:p>
      <w:pPr>
        <w:pStyle w:val="Heading4"/>
      </w:pPr>
      <w:bookmarkStart w:name="h-117772-1" w:id="147"/>
      <w:r>
        <w:rPr/>
        <w:t xml:space="preserve">Plywood sheeting</w:t>
      </w:r>
      <w:bookmarkEnd w:id="147"/>
    </w:p>
    <w:p>
      <w:pPr>
        <w:pStyle w:val="Normal"/>
      </w:pPr>
      <w:r>
        <w:rPr/>
        <w:t xml:space="preserve">Installation: Lay the length of the sheets at right angles to the supports.</w:t>
      </w:r>
    </w:p>
    <w:p>
      <w:pPr>
        <w:pStyle w:val="Normal"/>
      </w:pPr>
      <w:r>
        <w:rPr/>
        <w:t xml:space="preserve">End joints: Stagger the end joints and locate centrally over framing members.</w:t>
      </w:r>
    </w:p>
    <w:p>
      <w:pPr>
        <w:pStyle w:val="Normal"/>
      </w:pPr>
      <w:r>
        <w:rPr/>
        <w:t xml:space="preserve">Edge support: If panels are not tongue and grooved, provide noggings or trimmer joists to support the edge.</w:t>
      </w:r>
    </w:p>
    <w:p>
      <w:pPr>
        <w:pStyle w:val="Normal"/>
      </w:pPr>
      <w:r>
        <w:rPr/>
        <w:t xml:space="preserve">Fixing: 300 mm centres to each support:</w:t>
      </w:r>
    </w:p>
    <w:p>
      <w:pPr>
        <w:pStyle w:val="NormalIndent"/>
      </w:pPr>
      <w:r>
        <w:rPr/>
        <w:t xml:space="preserve">Timber: Adhesive and nail.</w:t>
      </w:r>
    </w:p>
    <w:p>
      <w:pPr>
        <w:pStyle w:val="NormalIndent"/>
      </w:pPr>
      <w:r>
        <w:rPr/>
        <w:t xml:space="preserve">Steel: Metal coated self drilling/tapping screws with the heads finishing below the surface.</w:t>
      </w:r>
    </w:p>
    <w:p>
      <w:pPr>
        <w:pStyle w:val="Normal"/>
      </w:pPr>
      <w:r>
        <w:rPr/>
        <w:t xml:space="preserve">Control joints: 12 mm gap at abutting building elements.</w:t>
      </w:r>
    </w:p>
    <w:p>
      <w:pPr>
        <w:pStyle w:val="Instructions"/>
      </w:pPr>
      <w:r>
        <w:rPr/>
        <w:t xml:space="preserve">Detail the assembly to provide a 25 mm air gap between the plywood and insulation.</w:t>
      </w:r>
    </w:p>
    <w:bookmarkEnd w:id="146"/>
    <w:bookmarkEnd w:id="145"/>
    <w:bookmarkStart w:name="f-96335-content" w:id="148"/>
    <w:p>
      <w:pPr>
        <w:pStyle w:val="Heading3"/>
      </w:pPr>
      <w:bookmarkStart w:name="h-96335-content" w:id="149"/>
      <w:r>
        <w:rPr/>
        <w:t xml:space="preserve">Completion</w:t>
      </w:r>
      <w:bookmarkEnd w:id="149"/>
    </w:p>
    <w:bookmarkEnd w:id="148"/>
    <w:bookmarkStart w:name="f-180068" w:id="150"/>
    <w:bookmarkStart w:name="f-180068-1" w:id="151"/>
    <w:p>
      <w:pPr>
        <w:pStyle w:val="Heading4"/>
      </w:pPr>
      <w:bookmarkStart w:name="h-180068-1" w:id="152"/>
      <w:r>
        <w:rPr/>
        <w:t xml:space="preserve">Reinstatement</w:t>
      </w:r>
      <w:bookmarkEnd w:id="152"/>
    </w:p>
    <w:p>
      <w:pPr>
        <w:pStyle w:val="Normal"/>
      </w:pPr>
      <w:r>
        <w:rPr/>
        <w:t xml:space="preserve">Extent: Repair or replace damage to the cladding. If the work cannot be repaired satisfactorily, replace the whole area affected.</w:t>
      </w:r>
    </w:p>
    <w:p>
      <w:pPr>
        <w:pStyle w:val="Normal"/>
      </w:pPr>
      <w:r>
        <w:rPr/>
        <w:t xml:space="preserve">Touch up: If it is necessary to touch up minor damage to prepainted metal cladding, do not use spray paints.</w:t>
      </w:r>
    </w:p>
    <w:p>
      <w:pPr>
        <w:pStyle w:val="Instructions"/>
      </w:pPr>
      <w:r>
        <w:rPr/>
        <w:t xml:space="preserve">See BlueScope TB-02 for overpainting and restoration of exterior steel products.</w:t>
      </w:r>
    </w:p>
    <w:bookmarkEnd w:id="151"/>
    <w:bookmarkEnd w:id="150"/>
    <w:bookmarkStart w:name="f-117760" w:id="153"/>
    <w:bookmarkStart w:name="f-117760-1" w:id="154"/>
    <w:p>
      <w:pPr>
        <w:pStyle w:val="Heading4"/>
      </w:pPr>
      <w:bookmarkStart w:name="h-117760-1" w:id="155"/>
      <w:r>
        <w:rPr/>
        <w:t xml:space="preserve">Cleaning</w:t>
      </w:r>
      <w:bookmarkEnd w:id="155"/>
    </w:p>
    <w:p>
      <w:pPr>
        <w:pStyle w:val="Normal"/>
      </w:pPr>
      <w:r>
        <w:rPr/>
        <w:t xml:space="preserve">Requirement: Remove excess debris, metal swarf, solder, sealants and unused materials.</w:t>
      </w:r>
    </w:p>
    <w:p>
      <w:pPr>
        <w:pStyle w:val="Normal"/>
      </w:pPr>
      <w:r>
        <w:rPr/>
        <w:t xml:space="preserve">Exposed metal surfaces: Clean surfaces of substances that interfere with uniform weathering or oxidisation.</w:t>
      </w:r>
    </w:p>
    <w:p>
      <w:pPr>
        <w:pStyle w:val="Normal"/>
      </w:pPr>
      <w:r>
        <w:rPr/>
        <w:t xml:space="preserve">Damaged materials: Replace materials that have been damaged or degraded.</w:t>
      </w:r>
    </w:p>
    <w:bookmarkEnd w:id="154"/>
    <w:bookmarkEnd w:id="153"/>
    <w:bookmarkStart w:name="f-117783" w:id="156"/>
    <w:bookmarkStart w:name="f-117783-1" w:id="157"/>
    <w:p>
      <w:pPr>
        <w:pStyle w:val="Heading4"/>
      </w:pPr>
      <w:bookmarkStart w:name="h-117783-1" w:id="158"/>
      <w:r>
        <w:rPr/>
        <w:t xml:space="preserve">Protection</w:t>
      </w:r>
      <w:bookmarkEnd w:id="158"/>
    </w:p>
    <w:p>
      <w:pPr>
        <w:pStyle w:val="Normal"/>
      </w:pPr>
      <w:r>
        <w:rPr/>
        <w:t xml:space="preserve">Protective coating: Remove the protective plastic coating after completion of structure.</w:t>
      </w:r>
    </w:p>
    <w:bookmarkEnd w:id="157"/>
    <w:bookmarkEnd w:id="156"/>
    <w:bookmarkStart w:name="f-117773" w:id="159"/>
    <w:bookmarkStart w:name="f-117773-1" w:id="160"/>
    <w:p>
      <w:pPr>
        <w:pStyle w:val="Heading4"/>
      </w:pPr>
      <w:bookmarkStart w:name="h-117773-1" w:id="161"/>
      <w:r>
        <w:rPr/>
        <w:t xml:space="preserve">Warranties</w:t>
      </w:r>
      <w:bookmarkEnd w:id="161"/>
    </w:p>
    <w:p>
      <w:pPr>
        <w:pStyle w:val="Normal"/>
      </w:pPr>
      <w:r>
        <w:rPr/>
        <w:t xml:space="preserve">Warranty period:</w:t>
      </w:r>
    </w:p>
    <w:p>
      <w:pPr>
        <w:pStyle w:val="Prompt"/>
      </w:pPr>
      <w:r>
        <w:rPr/>
        <w:t xml:space="preserve">Material warranty: </w:t>
      </w:r>
      <w:r>
        <w:fldChar w:fldCharType="begin"/>
        <w:instrText xml:space="preserve"> MACROBUTTON  ac_OnHelp [complete/delete]</w:instrText>
        <w:fldChar w:fldCharType="separate"/>
        <w:t xml:space="preserve"> </w:t>
        <w:fldChar w:fldCharType="end"/>
      </w:r>
    </w:p>
    <w:p>
      <w:pPr>
        <w:pStyle w:val="Prompt"/>
      </w:pPr>
      <w:r>
        <w:rPr/>
        <w:t xml:space="preserve">Watertight installation guarantee: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Maximum material warranties – Select from:</w:t>
      </w:r>
    </w:p>
    <w:p>
      <w:pPr>
        <w:pStyle w:val="Instructionsindent"/>
      </w:pPr>
      <w:r>
        <w:rPr/>
        <w:t xml:space="preserve">Aluminium products: 20 years.</w:t>
      </w:r>
    </w:p>
    <w:p>
      <w:pPr>
        <w:pStyle w:val="Instructionsindent"/>
      </w:pPr>
      <w:r>
        <w:rPr/>
        <w:t xml:space="preserve">Zincalume</w:t>
      </w:r>
      <w:r>
        <w:rPr>
          <w:vertAlign w:val="superscript"/>
        </w:rPr>
        <w:t xml:space="preserve">®</w:t>
      </w:r>
      <w:r>
        <w:rPr/>
        <w:t xml:space="preserve"> &amp; Colorbond</w:t>
      </w:r>
      <w:r>
        <w:rPr>
          <w:vertAlign w:val="superscript"/>
        </w:rPr>
        <w:t xml:space="preserve">®</w:t>
      </w:r>
      <w:r>
        <w:rPr/>
        <w:t xml:space="preserve"> range: 30 years.</w:t>
      </w:r>
    </w:p>
    <w:p>
      <w:pPr>
        <w:pStyle w:val="Instructions"/>
      </w:pPr>
      <w:r>
        <w:rPr/>
        <w:t xml:space="preserve">Maximum watertight installation warranties:</w:t>
      </w:r>
    </w:p>
    <w:p>
      <w:pPr>
        <w:pStyle w:val="Instructionsindent"/>
      </w:pPr>
      <w:r>
        <w:rPr/>
        <w:t xml:space="preserve">Pierced fixing: 5 years.</w:t>
      </w:r>
    </w:p>
    <w:p>
      <w:pPr>
        <w:pStyle w:val="Instructionsindent"/>
      </w:pPr>
      <w:r>
        <w:rPr/>
        <w:t xml:space="preserve">Concealed fixing: 20 years.</w:t>
      </w:r>
    </w:p>
    <w:p>
      <w:pPr>
        <w:pStyle w:val="Normal"/>
      </w:pPr>
      <w:r>
        <w:rPr/>
        <w:t xml:space="preserve">Conditions:</w:t>
      </w:r>
    </w:p>
    <w:p>
      <w:pPr>
        <w:pStyle w:val="NormalIndent"/>
      </w:pPr>
      <w:r>
        <w:rPr/>
        <w:t xml:space="preserve">Material warranty: Subject to satisfactory inspection of the installation by FIELDERS.</w:t>
      </w:r>
    </w:p>
    <w:p>
      <w:pPr>
        <w:pStyle w:val="Instructions"/>
      </w:pPr>
      <w:r>
        <w:rPr/>
        <w:t xml:space="preserve">Sample warranties are published in </w:t>
      </w:r>
      <w:r>
        <w:rPr>
          <w:i/>
        </w:rPr>
        <w:t xml:space="preserve">Specifying FIELDERS Roofing and Walling Manual</w:t>
      </w:r>
      <w:r>
        <w:rPr/>
        <w:t xml:space="preserve">.</w:t>
      </w:r>
    </w:p>
    <w:p>
      <w:pPr>
        <w:pStyle w:val="Instructions"/>
      </w:pPr>
      <w:r>
        <w:rPr/>
        <w:t xml:space="preserve">Use only where warranties extending beyond the defects liability period are available for the particular system. Insert the required warranty period and terms, which should be negotiated beforehand. If the warranty is in the form of separate material and installation warranties, require the signatures of both manufacturer and installer. Delete if not applicable.</w:t>
      </w:r>
    </w:p>
    <w:bookmarkEnd w:id="160"/>
    <w:bookmarkEnd w:id="159"/>
    <w:bookmarkStart w:name="f-68073" w:id="162"/>
    <w:bookmarkStart w:name="f-68073-content" w:id="163"/>
    <w:p>
      <w:pPr>
        <w:pStyle w:val="Heading2"/>
      </w:pPr>
      <w:bookmarkStart w:name="h-68073-content" w:id="164"/>
      <w:r>
        <w:rPr/>
        <w:t xml:space="preserve">Selections</w:t>
      </w:r>
      <w:bookmarkEnd w:id="164"/>
    </w:p>
    <w:bookmarkEnd w:id="163"/>
    <w:bookmarkEnd w:id="162"/>
    <w:bookmarkStart w:name="f-99936" w:id="165"/>
    <w:bookmarkStart w:name="f-99936-2" w:id="166"/>
    <w:p>
      <w:pPr>
        <w:pStyle w:val="Instructions"/>
      </w:pPr>
      <w:r>
        <w:rPr>
          <w:b/>
        </w:rPr>
        <w:t xml:space="preserve">Schedules</w:t>
      </w:r>
      <w:r>
        <w:rPr/>
        <w:t xml:space="preserve"> are a way of documenting a selection of proprietary or generic products or systems by their properties. Indicate their locations here and/or on the drawings. Refer to NATSPEC TECHnote GEN 024 for guidance on using and editing schedules.</w:t>
      </w:r>
    </w:p>
    <w:bookmarkEnd w:id="166"/>
    <w:bookmarkEnd w:id="165"/>
    <w:bookmarkStart w:name="f-86141-content" w:id="167"/>
    <w:p>
      <w:pPr>
        <w:pStyle w:val="Heading3"/>
      </w:pPr>
      <w:bookmarkStart w:name="h-86141-content" w:id="168"/>
      <w:r>
        <w:rPr/>
        <w:t xml:space="preserve">Product</w:t>
      </w:r>
      <w:bookmarkEnd w:id="168"/>
    </w:p>
    <w:bookmarkEnd w:id="167"/>
    <w:bookmarkStart w:name="f-117732" w:id="169"/>
    <w:bookmarkStart w:name="f-117732-1" w:id="170"/>
    <w:p>
      <w:pPr>
        <w:pStyle w:val="Heading4"/>
      </w:pPr>
      <w:bookmarkStart w:name="h-117732-1" w:id="171"/>
      <w:r>
        <w:rPr/>
        <w:t xml:space="preserve">FIELDERS specialised panel cladding schedule</w:t>
      </w:r>
      <w:bookmarkEnd w:id="171"/>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b/>
              </w:rPr>
              <w:t xml:space="preserve">Property</w:t>
            </w:r>
          </w:p>
        </w:tc>
        <w:tc>
          <w:tcPr>
            <w:tcW w:w="2500" w:type="dxa"/>
          </w:tcPr>
          <w:p>
            <w:pPr>
              <w:pStyle w:val="Tabletitle"/>
            </w:pPr>
            <w:r>
              <w:rPr>
                <w:b/>
              </w:rPr>
              <w:t xml:space="preserve">A</w:t>
            </w:r>
          </w:p>
        </w:tc>
        <w:tc>
          <w:tcPr>
            <w:tcW w:w="2500" w:type="dxa"/>
          </w:tcPr>
          <w:p>
            <w:pPr>
              <w:pStyle w:val="Tabletitle"/>
            </w:pPr>
            <w:r>
              <w:rPr>
                <w:b/>
              </w:rPr>
              <w:t xml:space="preserve">B</w:t>
            </w:r>
          </w:p>
        </w:tc>
        <w:tc>
          <w:tcPr>
            <w:tcW w:w="2500" w:type="dxa"/>
          </w:tcPr>
          <w:p>
            <w:pPr>
              <w:pStyle w:val="Tabletitle"/>
            </w:pPr>
            <w:r>
              <w:rPr>
                <w:b/>
              </w:rPr>
              <w:t xml:space="preserve">C</w:t>
            </w:r>
          </w:p>
        </w:tc>
      </w:tr>
      <w:tr>
        <w:tc>
          <w:tcPr>
            <w:tcW w:w="2500" w:type="dxa"/>
          </w:tcPr>
          <w:p>
            <w:pPr>
              <w:pStyle w:val="Tabletext"/>
            </w:pPr>
            <w:r>
              <w:rPr/>
              <w:t xml:space="preserve">Product</w:t>
            </w:r>
          </w:p>
        </w:tc>
        <w:tc>
          <w:tcPr>
            <w:tcW w:w="2500" w:type="dxa"/>
          </w:tcPr>
          <w:p/>
        </w:tc>
        <w:tc>
          <w:tcPr>
            <w:tcW w:w="2500" w:type="dxa"/>
          </w:tcPr>
          <w:p/>
        </w:tc>
        <w:tc>
          <w:tcPr>
            <w:tcW w:w="2500" w:type="dxa"/>
          </w:tcPr>
          <w:p/>
        </w:tc>
      </w:tr>
      <w:tr>
        <w:tc>
          <w:tcPr>
            <w:tcW w:w="2500" w:type="dxa"/>
          </w:tcPr>
          <w:p>
            <w:pPr>
              <w:pStyle w:val="Tabletext"/>
            </w:pPr>
            <w:r>
              <w:rPr/>
              <w:t xml:space="preserve">Panel direction</w:t>
            </w:r>
          </w:p>
        </w:tc>
        <w:tc>
          <w:tcPr>
            <w:tcW w:w="2500" w:type="dxa"/>
          </w:tcPr>
          <w:p/>
        </w:tc>
        <w:tc>
          <w:tcPr>
            <w:tcW w:w="2500" w:type="dxa"/>
          </w:tcPr>
          <w:p/>
        </w:tc>
        <w:tc>
          <w:tcPr>
            <w:tcW w:w="2500" w:type="dxa"/>
          </w:tcPr>
          <w:p/>
        </w:tc>
      </w:tr>
      <w:tr>
        <w:tc>
          <w:tcPr>
            <w:tcW w:w="2500" w:type="dxa"/>
          </w:tcPr>
          <w:p>
            <w:pPr>
              <w:pStyle w:val="Tabletext"/>
            </w:pPr>
            <w:r>
              <w:rPr/>
              <w:t xml:space="preserve">Panel joint</w:t>
            </w:r>
          </w:p>
        </w:tc>
        <w:tc>
          <w:tcPr>
            <w:tcW w:w="2500" w:type="dxa"/>
          </w:tcPr>
          <w:p/>
        </w:tc>
        <w:tc>
          <w:tcPr>
            <w:tcW w:w="2500" w:type="dxa"/>
          </w:tcPr>
          <w:p/>
        </w:tc>
        <w:tc>
          <w:tcPr>
            <w:tcW w:w="2500" w:type="dxa"/>
          </w:tcPr>
          <w:p/>
        </w:tc>
      </w:tr>
      <w:tr>
        <w:tc>
          <w:tcPr>
            <w:tcW w:w="2500" w:type="dxa"/>
          </w:tcPr>
          <w:p>
            <w:pPr>
              <w:pStyle w:val="Tabletext"/>
            </w:pPr>
            <w:r>
              <w:rPr/>
              <w:t xml:space="preserve">Material type</w:t>
            </w:r>
          </w:p>
        </w:tc>
        <w:tc>
          <w:tcPr>
            <w:tcW w:w="2500" w:type="dxa"/>
          </w:tcPr>
          <w:p/>
        </w:tc>
        <w:tc>
          <w:tcPr>
            <w:tcW w:w="2500" w:type="dxa"/>
          </w:tcPr>
          <w:p/>
        </w:tc>
        <w:tc>
          <w:tcPr>
            <w:tcW w:w="2500" w:type="dxa"/>
          </w:tcPr>
          <w:p/>
        </w:tc>
      </w:tr>
      <w:tr>
        <w:tc>
          <w:tcPr>
            <w:tcW w:w="2500" w:type="dxa"/>
          </w:tcPr>
          <w:p>
            <w:pPr>
              <w:pStyle w:val="Tabletext"/>
            </w:pPr>
            <w:r>
              <w:rPr/>
              <w:t xml:space="preserve">Minimum base metal thickness (BMT) (mm):</w:t>
            </w:r>
          </w:p>
        </w:tc>
        <w:tc>
          <w:tcPr>
            <w:tcW w:w="2500" w:type="dxa"/>
          </w:tcPr>
          <w:p/>
        </w:tc>
        <w:tc>
          <w:tcPr>
            <w:tcW w:w="2500" w:type="dxa"/>
          </w:tcPr>
          <w:p/>
        </w:tc>
        <w:tc>
          <w:tcPr>
            <w:tcW w:w="2500" w:type="dxa"/>
          </w:tcPr>
          <w:p/>
        </w:tc>
      </w:tr>
      <w:tr>
        <w:tc>
          <w:tcPr>
            <w:tcW w:w="2500" w:type="dxa"/>
          </w:tcPr>
          <w:p>
            <w:pPr>
              <w:pStyle w:val="Tabletext"/>
            </w:pPr>
            <w:r>
              <w:rPr/>
              <w:t xml:space="preserve">Width between ribs</w:t>
            </w:r>
          </w:p>
        </w:tc>
        <w:tc>
          <w:tcPr>
            <w:tcW w:w="2500" w:type="dxa"/>
          </w:tcPr>
          <w:p/>
        </w:tc>
        <w:tc>
          <w:tcPr>
            <w:tcW w:w="2500" w:type="dxa"/>
          </w:tcPr>
          <w:p/>
        </w:tc>
        <w:tc>
          <w:tcPr>
            <w:tcW w:w="2500" w:type="dxa"/>
          </w:tcPr>
          <w:p/>
        </w:tc>
      </w:tr>
      <w:tr>
        <w:tc>
          <w:tcPr>
            <w:tcW w:w="2500" w:type="dxa"/>
          </w:tcPr>
          <w:p>
            <w:pPr>
              <w:pStyle w:val="Tabletext"/>
            </w:pPr>
            <w:r>
              <w:rPr/>
              <w:t xml:space="preserve">Colour</w:t>
            </w:r>
          </w:p>
        </w:tc>
        <w:tc>
          <w:tcPr>
            <w:tcW w:w="2500" w:type="dxa"/>
          </w:tcPr>
          <w:p/>
        </w:tc>
        <w:tc>
          <w:tcPr>
            <w:tcW w:w="2500" w:type="dxa"/>
          </w:tcPr>
          <w:p/>
        </w:tc>
        <w:tc>
          <w:tcPr>
            <w:tcW w:w="2500" w:type="dxa"/>
          </w:tcPr>
          <w:p/>
        </w:tc>
      </w:tr>
      <w:tr>
        <w:tc>
          <w:tcPr>
            <w:tcW w:w="2500" w:type="dxa"/>
          </w:tcPr>
          <w:p>
            <w:pPr>
              <w:pStyle w:val="Tabletext"/>
            </w:pPr>
            <w:r>
              <w:rPr/>
              <w:t xml:space="preserve">Plywood substrate</w:t>
            </w:r>
          </w:p>
        </w:tc>
        <w:tc>
          <w:tcPr>
            <w:tcW w:w="2500" w:type="dxa"/>
          </w:tcPr>
          <w:p/>
        </w:tc>
        <w:tc>
          <w:tcPr>
            <w:tcW w:w="2500" w:type="dxa"/>
          </w:tcPr>
          <w:p/>
        </w:tc>
        <w:tc>
          <w:tcPr>
            <w:tcW w:w="2500" w:type="dxa"/>
          </w:tcPr>
          <w:p/>
        </w:tc>
      </w:tr>
      <w:tr>
        <w:tc>
          <w:tcPr>
            <w:tcW w:w="2500" w:type="dxa"/>
          </w:tcPr>
          <w:p>
            <w:pPr>
              <w:pStyle w:val="Tabletext"/>
            </w:pPr>
            <w:r>
              <w:rPr/>
              <w:t xml:space="preserve">Trims</w:t>
            </w:r>
          </w:p>
        </w:tc>
        <w:tc>
          <w:tcPr>
            <w:tcW w:w="2500" w:type="dxa"/>
          </w:tcPr>
          <w:p/>
        </w:tc>
        <w:tc>
          <w:tcPr>
            <w:tcW w:w="2500" w:type="dxa"/>
          </w:tcPr>
          <w:p/>
        </w:tc>
        <w:tc>
          <w:tcPr>
            <w:tcW w:w="2500" w:type="dxa"/>
          </w:tcPr>
          <w:p/>
        </w:tc>
      </w:tr>
      <w:tr>
        <w:tc>
          <w:tcPr>
            <w:tcW w:w="2500" w:type="dxa"/>
          </w:tcPr>
          <w:p>
            <w:pPr>
              <w:pStyle w:val="Tabletext"/>
            </w:pPr>
            <w:r>
              <w:rPr/>
              <w:t xml:space="preserve">Control joints</w:t>
            </w:r>
          </w:p>
        </w:tc>
        <w:tc>
          <w:tcPr>
            <w:tcW w:w="2500" w:type="dxa"/>
          </w:tcPr>
          <w:p/>
        </w:tc>
        <w:tc>
          <w:tcPr>
            <w:tcW w:w="2500" w:type="dxa"/>
          </w:tcPr>
          <w:p/>
        </w:tc>
        <w:tc>
          <w:tcPr>
            <w:tcW w:w="2500" w:type="dxa"/>
          </w:tcPr>
          <w:p/>
        </w:tc>
      </w:tr>
      <w:tr>
        <w:tc>
          <w:tcPr>
            <w:tcW w:w="2500" w:type="dxa"/>
          </w:tcPr>
          <w:p>
            <w:pPr>
              <w:pStyle w:val="Tabletext"/>
            </w:pPr>
            <w:r>
              <w:rPr/>
              <w:t xml:space="preserve">Flashings and cappings</w:t>
            </w:r>
          </w:p>
        </w:tc>
        <w:tc>
          <w:tcPr>
            <w:tcW w:w="2500" w:type="dxa"/>
          </w:tcPr>
          <w:p/>
        </w:tc>
        <w:tc>
          <w:tcPr>
            <w:tcW w:w="2500" w:type="dxa"/>
          </w:tcPr>
          <w:p/>
        </w:tc>
        <w:tc>
          <w:tcPr>
            <w:tcW w:w="2500" w:type="dxa"/>
          </w:tcPr>
          <w:p/>
        </w:tc>
      </w:tr>
      <w:tr>
        <w:tc>
          <w:tcPr>
            <w:tcW w:w="2500" w:type="dxa"/>
          </w:tcPr>
          <w:p>
            <w:pPr>
              <w:pStyle w:val="Tabletext"/>
            </w:pPr>
            <w:r>
              <w:rPr/>
              <w:t xml:space="preserve">Fasteners</w:t>
            </w:r>
          </w:p>
        </w:tc>
        <w:tc>
          <w:tcPr>
            <w:tcW w:w="2500" w:type="dxa"/>
          </w:tcPr>
          <w:p/>
        </w:tc>
        <w:tc>
          <w:tcPr>
            <w:tcW w:w="2500" w:type="dxa"/>
          </w:tcPr>
          <w:p/>
        </w:tc>
        <w:tc>
          <w:tcPr>
            <w:tcW w:w="2500" w:type="dxa"/>
          </w:tcPr>
          <w:p/>
        </w:tc>
      </w:tr>
      <w:tr>
        <w:tc>
          <w:tcPr>
            <w:tcW w:w="2500" w:type="dxa"/>
          </w:tcPr>
          <w:p>
            <w:pPr>
              <w:pStyle w:val="Tabletext"/>
            </w:pPr>
            <w:r>
              <w:rPr/>
              <w:t xml:space="preserve">Structural frame material</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Product: Select from:</w:t>
      </w:r>
    </w:p>
    <w:p>
      <w:pPr>
        <w:pStyle w:val="Instructionsindent"/>
      </w:pPr>
      <w:r>
        <w:rPr/>
        <w:t xml:space="preserve">FIELDERS Shadowline</w:t>
      </w:r>
      <w:r>
        <w:rPr>
          <w:vertAlign w:val="superscript"/>
        </w:rPr>
        <w:t xml:space="preserve">™</w:t>
      </w:r>
      <w:r>
        <w:rPr/>
        <w:t xml:space="preserve"> 305.</w:t>
      </w:r>
    </w:p>
    <w:p>
      <w:pPr>
        <w:pStyle w:val="Instructionsindent"/>
      </w:pPr>
      <w:r>
        <w:rPr/>
        <w:t xml:space="preserve">FIELDERS Shadowline</w:t>
      </w:r>
      <w:r>
        <w:rPr>
          <w:vertAlign w:val="superscript"/>
        </w:rPr>
        <w:t xml:space="preserve">™</w:t>
      </w:r>
      <w:r>
        <w:rPr/>
        <w:t xml:space="preserve"> WA.</w:t>
      </w:r>
    </w:p>
    <w:p>
      <w:pPr>
        <w:pStyle w:val="Instructionsindent"/>
      </w:pPr>
      <w:r>
        <w:rPr/>
        <w:t xml:space="preserve">FIELDERS Neo-Roman</w:t>
      </w:r>
      <w:r>
        <w:rPr>
          <w:vertAlign w:val="superscript"/>
        </w:rPr>
        <w:t xml:space="preserve">™</w:t>
      </w:r>
      <w:r>
        <w:rPr/>
        <w:t xml:space="preserve"> 275 mm or 475 mm.</w:t>
      </w:r>
    </w:p>
    <w:p>
      <w:pPr>
        <w:pStyle w:val="Instructionsindent"/>
      </w:pPr>
      <w:r>
        <w:rPr/>
        <w:t xml:space="preserve">FIELDERS Prominence</w:t>
      </w:r>
      <w:r>
        <w:rPr>
          <w:vertAlign w:val="superscript"/>
        </w:rPr>
        <w:t xml:space="preserve">™</w:t>
      </w:r>
      <w:r>
        <w:rPr/>
        <w:t xml:space="preserve">.</w:t>
      </w:r>
    </w:p>
    <w:p>
      <w:pPr>
        <w:pStyle w:val="Instructionsindent"/>
      </w:pPr>
      <w:r>
        <w:rPr/>
        <w:t xml:space="preserve">FIELDERS Boulevard</w:t>
      </w:r>
      <w:r>
        <w:rPr>
          <w:vertAlign w:val="superscript"/>
        </w:rPr>
        <w:t xml:space="preserve">™</w:t>
      </w:r>
      <w:r>
        <w:rPr/>
        <w:t xml:space="preserve">.</w:t>
      </w:r>
    </w:p>
    <w:p>
      <w:pPr>
        <w:pStyle w:val="Instructionsindent"/>
      </w:pPr>
      <w:r>
        <w:rPr/>
        <w:t xml:space="preserve">FIELDERS Grandeur</w:t>
      </w:r>
      <w:r>
        <w:rPr>
          <w:vertAlign w:val="superscript"/>
        </w:rPr>
        <w:t xml:space="preserve">™</w:t>
      </w:r>
      <w:r>
        <w:rPr/>
        <w:t xml:space="preserve">.</w:t>
      </w:r>
    </w:p>
    <w:p>
      <w:pPr>
        <w:pStyle w:val="Instructions"/>
      </w:pPr>
      <w:r>
        <w:rPr/>
        <w:t xml:space="preserve">Panel direction: Horizontal or Vertical.</w:t>
      </w:r>
    </w:p>
    <w:p>
      <w:pPr>
        <w:pStyle w:val="Instructions"/>
      </w:pPr>
      <w:r>
        <w:rPr/>
        <w:t xml:space="preserve">Panel joint: Select from:</w:t>
      </w:r>
    </w:p>
    <w:p>
      <w:pPr>
        <w:pStyle w:val="Instructionsindent"/>
      </w:pPr>
      <w:r>
        <w:rPr/>
        <w:t xml:space="preserve">All in one panel.</w:t>
      </w:r>
    </w:p>
    <w:p>
      <w:pPr>
        <w:pStyle w:val="Instructionsindent"/>
      </w:pPr>
      <w:r>
        <w:rPr/>
        <w:t xml:space="preserve">Neo-Roman</w:t>
      </w:r>
      <w:r>
        <w:rPr>
          <w:vertAlign w:val="superscript"/>
        </w:rPr>
        <w:t xml:space="preserve">™</w:t>
      </w:r>
      <w:r>
        <w:rPr/>
        <w:t xml:space="preserve">: All in one panel or Panel with Stand Alone Rib for Neo-Roman</w:t>
      </w:r>
      <w:r>
        <w:rPr>
          <w:vertAlign w:val="superscript"/>
        </w:rPr>
        <w:t xml:space="preserve">™</w:t>
      </w:r>
      <w:r>
        <w:rPr/>
        <w:t xml:space="preserve">.</w:t>
      </w:r>
    </w:p>
    <w:p>
      <w:pPr>
        <w:pStyle w:val="Instructionsindent"/>
      </w:pPr>
      <w:r>
        <w:rPr/>
        <w:t xml:space="preserve">Boulevard</w:t>
      </w:r>
      <w:r>
        <w:rPr>
          <w:vertAlign w:val="superscript"/>
        </w:rPr>
        <w:t xml:space="preserve">™</w:t>
      </w:r>
      <w:r>
        <w:rPr/>
        <w:t xml:space="preserve"> longitudinal joint: Between 5 mm and 18 mm.</w:t>
      </w:r>
    </w:p>
    <w:p>
      <w:pPr>
        <w:pStyle w:val="Instructionsindent"/>
      </w:pPr>
      <w:r>
        <w:rPr/>
        <w:t xml:space="preserve">Grandeur</w:t>
      </w:r>
      <w:r>
        <w:rPr>
          <w:vertAlign w:val="superscript"/>
        </w:rPr>
        <w:t xml:space="preserve">™</w:t>
      </w:r>
      <w:r>
        <w:rPr/>
        <w:t xml:space="preserve">: Select from: Double lock seam (aluminium only) or Single lock seam.</w:t>
      </w:r>
    </w:p>
    <w:p>
      <w:pPr>
        <w:pStyle w:val="Instructions"/>
      </w:pPr>
      <w:r>
        <w:rPr/>
        <w:t xml:space="preserve">Material type: Select the product material recommended by FIELDERS with reference to the atmospheric corrosivity category nominated for the project in </w:t>
      </w:r>
      <w:r>
        <w:rPr>
          <w:i/>
        </w:rPr>
        <w:t xml:space="preserve">0171 General requirements</w:t>
      </w:r>
      <w:r>
        <w:rPr/>
        <w:t xml:space="preserve">. Refer also to NATSPEC TECHnote DES 010.</w:t>
      </w:r>
    </w:p>
    <w:p>
      <w:pPr>
        <w:pStyle w:val="Instructionsindent"/>
      </w:pPr>
      <w:r>
        <w:rPr/>
        <w:t xml:space="preserve">Benign: Colorbond</w:t>
      </w:r>
      <w:r>
        <w:rPr>
          <w:vertAlign w:val="superscript"/>
        </w:rPr>
        <w:t xml:space="preserve">®</w:t>
      </w:r>
      <w:r>
        <w:rPr/>
        <w:t xml:space="preserve"> steel, Colorbond</w:t>
      </w:r>
      <w:r>
        <w:rPr>
          <w:vertAlign w:val="superscript"/>
        </w:rPr>
        <w:t xml:space="preserve">®</w:t>
      </w:r>
      <w:r>
        <w:rPr/>
        <w:t xml:space="preserve"> Metallic steel or Zincalume</w:t>
      </w:r>
      <w:r>
        <w:rPr>
          <w:vertAlign w:val="superscript"/>
        </w:rPr>
        <w:t xml:space="preserve">®</w:t>
      </w:r>
      <w:r>
        <w:rPr/>
        <w:t xml:space="preserve"> steel.</w:t>
      </w:r>
    </w:p>
    <w:p>
      <w:pPr>
        <w:pStyle w:val="Instructionsindent"/>
      </w:pPr>
      <w:r>
        <w:rPr/>
        <w:t xml:space="preserve">Moderate: Colorbond</w:t>
      </w:r>
      <w:r>
        <w:rPr>
          <w:vertAlign w:val="superscript"/>
        </w:rPr>
        <w:t xml:space="preserve">®</w:t>
      </w:r>
      <w:r>
        <w:rPr/>
        <w:t xml:space="preserve"> steel.</w:t>
      </w:r>
    </w:p>
    <w:p>
      <w:pPr>
        <w:pStyle w:val="Instructionsindent"/>
      </w:pPr>
      <w:r>
        <w:rPr/>
        <w:t xml:space="preserve">Severe marine: Colorbond</w:t>
      </w:r>
      <w:r>
        <w:rPr>
          <w:vertAlign w:val="superscript"/>
        </w:rPr>
        <w:t xml:space="preserve">®</w:t>
      </w:r>
      <w:r>
        <w:rPr/>
        <w:t xml:space="preserve"> Ultra steel.</w:t>
      </w:r>
    </w:p>
    <w:p>
      <w:pPr>
        <w:pStyle w:val="Instructionsindent"/>
      </w:pPr>
      <w:r>
        <w:rPr/>
        <w:t xml:space="preserve">Very severe marine: Colorbond</w:t>
      </w:r>
      <w:r>
        <w:rPr>
          <w:vertAlign w:val="superscript"/>
        </w:rPr>
        <w:t xml:space="preserve">®</w:t>
      </w:r>
      <w:r>
        <w:rPr/>
        <w:t xml:space="preserve"> Stainless steel.</w:t>
      </w:r>
    </w:p>
    <w:p>
      <w:pPr>
        <w:pStyle w:val="Instructions"/>
      </w:pPr>
      <w:r>
        <w:rPr/>
        <w:t xml:space="preserve">Minimum base metal thickness (BMT) (mm): Select from:</w:t>
      </w:r>
    </w:p>
    <w:p>
      <w:pPr>
        <w:pStyle w:val="Instructionsindent"/>
      </w:pPr>
      <w:r>
        <w:rPr/>
        <w:t xml:space="preserve">Colorbond</w:t>
      </w:r>
      <w:r>
        <w:rPr>
          <w:vertAlign w:val="superscript"/>
        </w:rPr>
        <w:t xml:space="preserve">®</w:t>
      </w:r>
      <w:r>
        <w:rPr/>
        <w:t xml:space="preserve"> Stainless steel: 0.55 BMT.</w:t>
      </w:r>
    </w:p>
    <w:p>
      <w:pPr>
        <w:pStyle w:val="Instructionsindent"/>
      </w:pPr>
      <w:r>
        <w:rPr/>
        <w:t xml:space="preserve">Zincalume</w:t>
      </w:r>
      <w:r>
        <w:rPr>
          <w:vertAlign w:val="superscript"/>
        </w:rPr>
        <w:t xml:space="preserve">®</w:t>
      </w:r>
      <w:r>
        <w:rPr/>
        <w:t xml:space="preserve"> steel: 0.55 BMT.</w:t>
      </w:r>
    </w:p>
    <w:p>
      <w:pPr>
        <w:pStyle w:val="Instructionsindent"/>
      </w:pPr>
      <w:r>
        <w:rPr/>
        <w:t xml:space="preserve">Colorbond</w:t>
      </w:r>
      <w:r>
        <w:rPr>
          <w:vertAlign w:val="superscript"/>
        </w:rPr>
        <w:t xml:space="preserve">®</w:t>
      </w:r>
      <w:r>
        <w:rPr/>
        <w:t xml:space="preserve">: 0.55 BMT.</w:t>
      </w:r>
    </w:p>
    <w:p>
      <w:pPr>
        <w:pStyle w:val="Instructionsindent"/>
      </w:pPr>
      <w:r>
        <w:rPr/>
        <w:t xml:space="preserve">Colorbond</w:t>
      </w:r>
      <w:r>
        <w:rPr>
          <w:vertAlign w:val="superscript"/>
        </w:rPr>
        <w:t xml:space="preserve">®</w:t>
      </w:r>
      <w:r>
        <w:rPr/>
        <w:t xml:space="preserve"> Ultra steel: 0.55 BMT.</w:t>
      </w:r>
    </w:p>
    <w:p>
      <w:pPr>
        <w:pStyle w:val="Instructionsindent"/>
      </w:pPr>
      <w:r>
        <w:rPr/>
        <w:t xml:space="preserve">Colorbond</w:t>
      </w:r>
      <w:r>
        <w:rPr>
          <w:vertAlign w:val="superscript"/>
        </w:rPr>
        <w:t xml:space="preserve">®</w:t>
      </w:r>
      <w:r>
        <w:rPr/>
        <w:t xml:space="preserve"> Metallic: 0.55 BMT.</w:t>
      </w:r>
    </w:p>
    <w:p>
      <w:pPr>
        <w:pStyle w:val="Instructions"/>
      </w:pPr>
      <w:r>
        <w:rPr/>
        <w:t xml:space="preserve">Width between ribs: Refer to the </w:t>
      </w:r>
      <w:r>
        <w:rPr>
          <w:i/>
        </w:rPr>
        <w:t xml:space="preserve">Specifying FIELDERS Roofing and Walling Manual</w:t>
      </w:r>
      <w:r>
        <w:rPr/>
        <w:t xml:space="preserve"> for further information on the configurations.</w:t>
      </w:r>
    </w:p>
    <w:p>
      <w:pPr>
        <w:pStyle w:val="Instructionsindent"/>
      </w:pPr>
      <w:r>
        <w:rPr/>
        <w:t xml:space="preserve">Neo-Roman</w:t>
      </w:r>
      <w:r>
        <w:rPr>
          <w:vertAlign w:val="superscript"/>
        </w:rPr>
        <w:t xml:space="preserve">™</w:t>
      </w:r>
      <w:r>
        <w:rPr/>
        <w:t xml:space="preserve">: 275 mm or 475 mm.</w:t>
      </w:r>
    </w:p>
    <w:p>
      <w:pPr>
        <w:pStyle w:val="Instructionsindent"/>
      </w:pPr>
      <w:r>
        <w:rPr/>
        <w:t xml:space="preserve">Prominence</w:t>
      </w:r>
      <w:r>
        <w:rPr>
          <w:vertAlign w:val="superscript"/>
        </w:rPr>
        <w:t xml:space="preserve">™</w:t>
      </w:r>
      <w:r>
        <w:rPr/>
        <w:t xml:space="preserve">: 265 mm or 465 mm.</w:t>
      </w:r>
    </w:p>
    <w:p>
      <w:pPr>
        <w:pStyle w:val="Instructionsindent"/>
      </w:pPr>
      <w:r>
        <w:rPr/>
        <w:t xml:space="preserve">Boulevard</w:t>
      </w:r>
      <w:r>
        <w:rPr>
          <w:vertAlign w:val="superscript"/>
        </w:rPr>
        <w:t xml:space="preserve">™</w:t>
      </w:r>
      <w:r>
        <w:rPr/>
        <w:t xml:space="preserve"> width: 285 mm or 485 mm.</w:t>
      </w:r>
    </w:p>
    <w:p>
      <w:pPr>
        <w:pStyle w:val="Instructionsindent"/>
      </w:pPr>
      <w:r>
        <w:rPr/>
        <w:t xml:space="preserve">Grandeur</w:t>
      </w:r>
      <w:r>
        <w:rPr>
          <w:vertAlign w:val="superscript"/>
        </w:rPr>
        <w:t xml:space="preserve">™</w:t>
      </w:r>
      <w:r>
        <w:rPr/>
        <w:t xml:space="preserve">: 325 mm or 525 mm</w:t>
      </w:r>
    </w:p>
    <w:p>
      <w:pPr>
        <w:pStyle w:val="Instructions"/>
      </w:pPr>
      <w:r>
        <w:rPr/>
        <w:t xml:space="preserve">Plywood substrate: Select Required or Not required as appropriate for the product and its application.</w:t>
      </w:r>
    </w:p>
    <w:p>
      <w:pPr>
        <w:pStyle w:val="Instructions"/>
      </w:pPr>
      <w:r>
        <w:rPr/>
        <w:t xml:space="preserve">Trims: Select accessories for sills, reveals or corner returns from the FIELDERS product range as appropriate.</w:t>
      </w:r>
    </w:p>
    <w:p>
      <w:pPr>
        <w:pStyle w:val="Instructions"/>
      </w:pPr>
      <w:r>
        <w:rPr/>
        <w:t xml:space="preserve">Flashings and cappings: Select from the FIELDERS product range as appropriate</w:t>
      </w:r>
    </w:p>
    <w:p>
      <w:pPr>
        <w:pStyle w:val="Instructions"/>
      </w:pPr>
      <w:r>
        <w:rPr/>
        <w:t xml:space="preserve">Fasteners: e.g. Concealed or Pierced: Crest or Valley.</w:t>
      </w:r>
    </w:p>
    <w:p>
      <w:pPr>
        <w:pStyle w:val="Instructions"/>
      </w:pPr>
      <w:r>
        <w:rPr/>
        <w:t xml:space="preserve">Structural frame material: e.g. Concrete, Timber or Steel. Refer to project details. FIELDERS offer guidance with typical detail drawings.</w:t>
      </w:r>
    </w:p>
    <w:bookmarkEnd w:id="170"/>
    <w:bookmarkEnd w:id="169"/>
    <w:bookmarkEnd w:id="1"/>
    <w:bookmarkStart w:name="f-worksection-refdoc" w:id="172"/>
    <w:p>
      <w:pPr>
        <w:pStyle w:val="InstructionsHeading4"/>
      </w:pPr>
      <w:r>
        <w:rPr/>
        <w:t xml:space="preserve">REFERENCED DOCUMENTS</w:t>
      </w:r>
    </w:p>
    <w:p>
      <w:pPr>
        <w:pStyle w:val="Instructions"/>
      </w:pPr>
      <w:r>
        <w:rPr>
          <w:b/>
        </w:rPr>
        <w:t xml:space="preserve">The following documents are incorporated into this worksection by reference:</w:t>
      </w:r>
    </w:p>
    <w:p>
      <w:pPr>
        <w:pStyle w:val="Standard1"/>
      </w:pPr>
      <w:r>
        <w:rPr/>
        <w:t xml:space="preserve">AS/NZS 1170</w:t>
      </w:r>
      <w:r>
        <w:tab/>
      </w:r>
      <w:r>
        <w:tab/>
      </w:r>
      <w:r>
        <w:rPr/>
        <w:t xml:space="preserve">Structural design actions</w:t>
      </w:r>
    </w:p>
    <w:p>
      <w:pPr>
        <w:pStyle w:val="Standard2"/>
      </w:pPr>
      <w:r>
        <w:rPr/>
        <w:t xml:space="preserve">AS/NZS 1170.2</w:t>
      </w:r>
      <w:r>
        <w:tab/>
      </w:r>
      <w:r>
        <w:rPr/>
        <w:t xml:space="preserve">2011</w:t>
      </w:r>
      <w:r>
        <w:tab/>
      </w:r>
      <w:r>
        <w:rPr/>
        <w:t xml:space="preserve">Wind actions</w:t>
      </w:r>
    </w:p>
    <w:p>
      <w:pPr>
        <w:pStyle w:val="Standard1"/>
      </w:pPr>
      <w:r>
        <w:rPr/>
        <w:t xml:space="preserve">AS 1562</w:t>
      </w:r>
      <w:r>
        <w:tab/>
      </w:r>
      <w:r>
        <w:tab/>
      </w:r>
      <w:r>
        <w:rPr/>
        <w:t xml:space="preserve">Design and installation of sheet roof and wall cladding</w:t>
      </w:r>
    </w:p>
    <w:p>
      <w:pPr>
        <w:pStyle w:val="Standard2"/>
      </w:pPr>
      <w:r>
        <w:rPr/>
        <w:t xml:space="preserve">AS 1562.1</w:t>
      </w:r>
      <w:r>
        <w:tab/>
      </w:r>
      <w:r>
        <w:rPr/>
        <w:t xml:space="preserve">2018</w:t>
      </w:r>
      <w:r>
        <w:tab/>
      </w:r>
      <w:r>
        <w:rPr/>
        <w:t xml:space="preserve">Metal</w:t>
      </w:r>
    </w:p>
    <w:p>
      <w:pPr>
        <w:pStyle w:val="Standard1"/>
      </w:pPr>
      <w:r>
        <w:rPr/>
        <w:t xml:space="preserve">AS/NZS 2269</w:t>
      </w:r>
      <w:r>
        <w:tab/>
      </w:r>
      <w:r>
        <w:tab/>
      </w:r>
      <w:r>
        <w:rPr/>
        <w:t xml:space="preserve">Plywood - Structural</w:t>
      </w:r>
    </w:p>
    <w:p>
      <w:pPr>
        <w:pStyle w:val="Standard2"/>
      </w:pPr>
      <w:r>
        <w:rPr/>
        <w:t xml:space="preserve">AS/NZS 2269.0</w:t>
      </w:r>
      <w:r>
        <w:tab/>
      </w:r>
      <w:r>
        <w:rPr/>
        <w:t xml:space="preserve">2012</w:t>
      </w:r>
      <w:r>
        <w:tab/>
      </w:r>
      <w:r>
        <w:rPr/>
        <w:t xml:space="preserve">Specifications</w:t>
      </w:r>
    </w:p>
    <w:p>
      <w:pPr>
        <w:pStyle w:val="Standard1"/>
      </w:pPr>
      <w:r>
        <w:rPr/>
        <w:t xml:space="preserve">AS/NZS 2904</w:t>
      </w:r>
      <w:r>
        <w:tab/>
      </w:r>
      <w:r>
        <w:rPr/>
        <w:t xml:space="preserve">1995</w:t>
      </w:r>
      <w:r>
        <w:tab/>
      </w:r>
      <w:r>
        <w:rPr/>
        <w:t xml:space="preserve">Damp-proof courses and flashings</w:t>
      </w:r>
    </w:p>
    <w:p>
      <w:pPr>
        <w:pStyle w:val="Standard1"/>
      </w:pPr>
      <w:r>
        <w:rPr/>
        <w:t xml:space="preserve">Specifying FIELDERS</w:t>
      </w:r>
      <w:r>
        <w:tab/>
      </w:r>
      <w:r>
        <w:rPr/>
        <w:t xml:space="preserve">2017</w:t>
      </w:r>
      <w:r>
        <w:tab/>
      </w:r>
      <w:r>
        <w:rPr/>
        <w:t xml:space="preserve">Roofing and Walling Manual</w:t>
      </w:r>
    </w:p>
    <w:p>
      <w:pPr>
        <w:pStyle w:val="Instructions"/>
      </w:pPr>
      <w:r>
        <w:rPr>
          <w:b/>
        </w:rPr>
        <w:t xml:space="preserve">The following documents are mentioned only in the </w:t>
      </w:r>
      <w:r>
        <w:rPr>
          <w:b/>
          <w:i/>
        </w:rPr>
        <w:t xml:space="preserve">Guidance</w:t>
      </w:r>
      <w:r>
        <w:rPr>
          <w:b/>
        </w:rPr>
        <w:t xml:space="preserve"> text:</w:t>
      </w:r>
    </w:p>
    <w:p>
      <w:pPr>
        <w:pStyle w:val="Standard1"/>
      </w:pPr>
      <w:r>
        <w:rPr/>
        <w:t xml:space="preserve">AS 3959</w:t>
      </w:r>
      <w:r>
        <w:tab/>
      </w:r>
      <w:r>
        <w:rPr/>
        <w:t xml:space="preserve">2018</w:t>
      </w:r>
      <w:r>
        <w:tab/>
      </w:r>
      <w:r>
        <w:rPr/>
        <w:t xml:space="preserve">Construction of buildings in bushfire prone areas</w:t>
      </w:r>
    </w:p>
    <w:p>
      <w:pPr>
        <w:pStyle w:val="Standard1"/>
      </w:pPr>
      <w:r>
        <w:rPr/>
        <w:t xml:space="preserve">BlueScope TB-02</w:t>
      </w:r>
      <w:r>
        <w:tab/>
      </w:r>
      <w:r>
        <w:rPr/>
        <w:t xml:space="preserve">2019</w:t>
      </w:r>
      <w:r>
        <w:tab/>
      </w:r>
      <w:r>
        <w:rPr/>
        <w:t xml:space="preserve">Overpainting and restoration of exterior BlueScope Steel products</w:t>
      </w:r>
    </w:p>
    <w:p>
      <w:pPr>
        <w:pStyle w:val="Standard1"/>
      </w:pPr>
      <w:r>
        <w:rPr/>
        <w:t xml:space="preserve">BlueScope TB-01B</w:t>
      </w:r>
      <w:r>
        <w:tab/>
      </w:r>
      <w:r>
        <w:rPr/>
        <w:t xml:space="preserve">2019</w:t>
      </w:r>
      <w:r>
        <w:tab/>
      </w:r>
      <w:r>
        <w:rPr/>
        <w:t xml:space="preserve">Steel walling products - Selection guide</w:t>
      </w:r>
    </w:p>
    <w:p>
      <w:pPr>
        <w:pStyle w:val="Standard1"/>
      </w:pPr>
      <w:r>
        <w:rPr/>
        <w:t xml:space="preserve">NATSPEC DES 010</w:t>
      </w:r>
      <w:r>
        <w:tab/>
      </w:r>
      <w:r>
        <w:rPr/>
        <w:t xml:space="preserve">2015</w:t>
      </w:r>
      <w:r>
        <w:tab/>
      </w:r>
      <w:r>
        <w:rPr/>
        <w:t xml:space="preserve">Atmospheric corrosivity categories for ferrous products</w:t>
      </w:r>
    </w:p>
    <w:p>
      <w:pPr>
        <w:pStyle w:val="Standard1"/>
      </w:pPr>
      <w:r>
        <w:rPr/>
        <w:t xml:space="preserve">NATSPEC DES 018</w:t>
      </w:r>
      <w:r>
        <w:tab/>
      </w:r>
      <w:r>
        <w:rPr/>
        <w:t xml:space="preserve">2008</w:t>
      </w:r>
      <w:r>
        <w:tab/>
      </w:r>
      <w:r>
        <w:rPr/>
        <w:t xml:space="preserve">Bushfire protection</w:t>
      </w:r>
    </w:p>
    <w:p>
      <w:pPr>
        <w:pStyle w:val="Standard1"/>
      </w:pPr>
      <w:r>
        <w:rPr/>
        <w:t xml:space="preserve">NATSPEC DES 031</w:t>
      </w:r>
      <w:r>
        <w:tab/>
      </w:r>
      <w:r>
        <w:rPr/>
        <w:t xml:space="preserve">2014</w:t>
      </w:r>
      <w:r>
        <w:tab/>
      </w:r>
      <w:r>
        <w:rPr/>
        <w:t xml:space="preserve">Specifying R-Values</w:t>
      </w:r>
    </w:p>
    <w:p>
      <w:pPr>
        <w:pStyle w:val="Standard1"/>
      </w:pPr>
      <w:r>
        <w:rPr/>
        <w:t xml:space="preserve">NATSPEC GEN 006</w:t>
      </w:r>
      <w:r>
        <w:tab/>
      </w:r>
      <w:r>
        <w:rPr/>
        <w:t xml:space="preserve">2007</w:t>
      </w:r>
      <w:r>
        <w:tab/>
      </w:r>
      <w:r>
        <w:rPr/>
        <w:t xml:space="preserve">Product specifying and substitution</w:t>
      </w:r>
    </w:p>
    <w:p>
      <w:pPr>
        <w:pStyle w:val="Standard1"/>
      </w:pPr>
      <w:r>
        <w:rPr/>
        <w:t xml:space="preserve">NATSPEC GEN 024</w:t>
      </w:r>
      <w:r>
        <w:tab/>
      </w:r>
      <w:r>
        <w:rPr/>
        <w:t xml:space="preserve">2015</w:t>
      </w:r>
      <w:r>
        <w:tab/>
      </w:r>
      <w:r>
        <w:rPr/>
        <w:t xml:space="preserve">Using NATSPEC selections schedules</w:t>
      </w:r>
    </w:p>
    <w:p>
      <w:pPr>
        <w:pStyle w:val="Standard1"/>
      </w:pPr>
      <w:r>
        <w:rPr/>
        <w:t xml:space="preserve">NATSPEC TR 01</w:t>
      </w:r>
      <w:r>
        <w:tab/>
      </w:r>
      <w:r>
        <w:rPr/>
        <w:t xml:space="preserve">2019</w:t>
      </w:r>
      <w:r>
        <w:tab/>
      </w:r>
      <w:r>
        <w:rPr/>
        <w:t xml:space="preserve">Specifying ESD</w:t>
      </w:r>
    </w:p>
    <w:bookmarkEnd w:id="172"/>
    <w:sectP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w:rsidR="003F10B8" w:rsidRPr="00420ABA" w:rsidSect="00E57BAC">
      <w:headerReference w:type="default" r:id="rId7"/>
      <w:footerReference w:type="even" r:id="rId8"/>
      <w:footerReference w:type="default" r:id="rId9"/>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7533D6">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sidR="00EC2270">
          <w:t>04 Sites</w:t>
        </w:r>
      </w:sdtContent>
    </w:sdt>
    <w:r w:rsidR="006567D2">
      <w:tab/>
    </w:r>
    <w:r>
      <w:rPr>
        <w:noProof/>
      </w:rPr>
      <w:fldChar w:fldCharType="begin"/>
    </w:r>
    <w:r>
      <w:rPr>
        <w:noProof/>
      </w:rPr>
      <w:instrText xml:space="preserve"> STYLEREF  "Heading 1" \* MERGEFORMAT </w:instrText>
    </w:r>
    <w:r>
      <w:rPr>
        <w:noProof/>
      </w:rPr>
      <w:fldChar w:fldCharType="separate"/>
    </w:r>
    <w:r>
      <w:rPr>
        <w:noProof/>
      </w:rPr>
      <w:t>0411 Waterproofing – external and tanking</w:t>
    </w:r>
    <w:r>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C4E86A76"/>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0A617"/>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ECB"/>
    <w:pPr>
      <w:tabs>
        <w:tab w:val="left" w:pos="3969"/>
      </w:tabs>
      <w:spacing w:after="60"/>
    </w:pPr>
    <w:rPr>
      <w:rFonts w:ascii="Arial" w:hAnsi="Arial"/>
      <w:lang w:eastAsia="en-US"/>
    </w:rPr>
  </w:style>
  <w:style w:type="paragraph" w:styleId="Heading1">
    <w:name w:val="heading 1"/>
    <w:next w:val="Heading2"/>
    <w:qFormat/>
    <w:rsid w:val="00584EC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84EC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84EC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84EC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84ECB"/>
    <w:pPr>
      <w:numPr>
        <w:ilvl w:val="4"/>
        <w:numId w:val="6"/>
      </w:numPr>
      <w:spacing w:before="240"/>
      <w:outlineLvl w:val="4"/>
    </w:pPr>
    <w:rPr>
      <w:sz w:val="22"/>
    </w:rPr>
  </w:style>
  <w:style w:type="paragraph" w:styleId="Heading6">
    <w:name w:val="heading 6"/>
    <w:basedOn w:val="Normal"/>
    <w:next w:val="Normal"/>
    <w:qFormat/>
    <w:rsid w:val="00584ECB"/>
    <w:pPr>
      <w:numPr>
        <w:ilvl w:val="5"/>
        <w:numId w:val="6"/>
      </w:numPr>
      <w:spacing w:before="240"/>
      <w:outlineLvl w:val="5"/>
    </w:pPr>
    <w:rPr>
      <w:i/>
      <w:sz w:val="22"/>
    </w:rPr>
  </w:style>
  <w:style w:type="paragraph" w:styleId="Heading7">
    <w:name w:val="heading 7"/>
    <w:basedOn w:val="Normal"/>
    <w:next w:val="Normal"/>
    <w:qFormat/>
    <w:rsid w:val="00584ECB"/>
    <w:pPr>
      <w:numPr>
        <w:ilvl w:val="6"/>
        <w:numId w:val="6"/>
      </w:numPr>
      <w:spacing w:before="240"/>
      <w:outlineLvl w:val="6"/>
    </w:pPr>
  </w:style>
  <w:style w:type="paragraph" w:styleId="Heading8">
    <w:name w:val="heading 8"/>
    <w:basedOn w:val="Normal"/>
    <w:next w:val="Normal"/>
    <w:qFormat/>
    <w:rsid w:val="00584ECB"/>
    <w:pPr>
      <w:numPr>
        <w:ilvl w:val="7"/>
        <w:numId w:val="6"/>
      </w:numPr>
      <w:spacing w:before="240"/>
      <w:outlineLvl w:val="7"/>
    </w:pPr>
    <w:rPr>
      <w:i/>
    </w:rPr>
  </w:style>
  <w:style w:type="paragraph" w:styleId="Heading9">
    <w:name w:val="heading 9"/>
    <w:basedOn w:val="Normal"/>
    <w:next w:val="Normal"/>
    <w:qFormat/>
    <w:rsid w:val="00584ECB"/>
    <w:pPr>
      <w:numPr>
        <w:ilvl w:val="8"/>
        <w:numId w:val="6"/>
      </w:numPr>
      <w:spacing w:before="240"/>
      <w:outlineLvl w:val="8"/>
    </w:pPr>
    <w:rPr>
      <w:i/>
    </w:rPr>
  </w:style>
  <w:style w:type="character" w:default="1" w:styleId="DefaultParagraphFont">
    <w:name w:val="Default Paragraph Font"/>
    <w:uiPriority w:val="1"/>
    <w:semiHidden/>
    <w:unhideWhenUsed/>
    <w:rsid w:val="00584E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ECB"/>
  </w:style>
  <w:style w:type="paragraph" w:styleId="Footer">
    <w:name w:val="footer"/>
    <w:rsid w:val="00584ECB"/>
    <w:pPr>
      <w:tabs>
        <w:tab w:val="center" w:pos="4536"/>
        <w:tab w:val="right" w:pos="9072"/>
      </w:tabs>
    </w:pPr>
    <w:rPr>
      <w:rFonts w:ascii="Arial" w:hAnsi="Arial"/>
      <w:i/>
      <w:sz w:val="16"/>
      <w:szCs w:val="16"/>
      <w:lang w:eastAsia="en-US"/>
    </w:rPr>
  </w:style>
  <w:style w:type="paragraph" w:styleId="Header">
    <w:name w:val="header"/>
    <w:rsid w:val="00584ECB"/>
    <w:pPr>
      <w:pBdr>
        <w:bottom w:val="single" w:sz="6" w:space="4" w:color="auto"/>
      </w:pBdr>
      <w:tabs>
        <w:tab w:val="right" w:pos="9072"/>
      </w:tabs>
      <w:spacing w:after="200"/>
    </w:pPr>
    <w:rPr>
      <w:rFonts w:ascii="Arial" w:hAnsi="Arial"/>
      <w:b/>
      <w:i/>
      <w:lang w:eastAsia="en-US"/>
    </w:rPr>
  </w:style>
  <w:style w:type="paragraph" w:styleId="NormalIndent">
    <w:name w:val="Normal Indent"/>
    <w:rsid w:val="00584ECB"/>
    <w:pPr>
      <w:numPr>
        <w:numId w:val="5"/>
      </w:numPr>
      <w:tabs>
        <w:tab w:val="left" w:pos="210"/>
        <w:tab w:val="left" w:pos="3969"/>
      </w:tabs>
      <w:spacing w:after="60"/>
    </w:pPr>
    <w:rPr>
      <w:rFonts w:ascii="Arial" w:hAnsi="Arial"/>
      <w:lang w:eastAsia="en-US"/>
    </w:rPr>
  </w:style>
  <w:style w:type="paragraph" w:customStyle="1" w:styleId="Tabletext">
    <w:name w:val="Table text"/>
    <w:rsid w:val="00584ECB"/>
    <w:rPr>
      <w:rFonts w:ascii="Arial" w:hAnsi="Arial"/>
      <w:lang w:eastAsia="en-US"/>
    </w:rPr>
  </w:style>
  <w:style w:type="paragraph" w:customStyle="1" w:styleId="Tabletitle">
    <w:name w:val="Table title"/>
    <w:rsid w:val="00584ECB"/>
    <w:rPr>
      <w:rFonts w:ascii="Arial" w:hAnsi="Arial"/>
      <w:b/>
      <w:lang w:eastAsia="en-US"/>
    </w:rPr>
  </w:style>
  <w:style w:type="paragraph" w:customStyle="1" w:styleId="Tableindent">
    <w:name w:val="Table indent"/>
    <w:rsid w:val="00584ECB"/>
    <w:pPr>
      <w:numPr>
        <w:numId w:val="4"/>
      </w:numPr>
      <w:tabs>
        <w:tab w:val="left" w:pos="85"/>
      </w:tabs>
    </w:pPr>
    <w:rPr>
      <w:rFonts w:ascii="Arial" w:hAnsi="Arial"/>
      <w:lang w:eastAsia="en-US"/>
    </w:rPr>
  </w:style>
  <w:style w:type="paragraph" w:customStyle="1" w:styleId="NormalIndent2">
    <w:name w:val="Normal Indent 2"/>
    <w:rsid w:val="00584ECB"/>
    <w:pPr>
      <w:numPr>
        <w:numId w:val="3"/>
      </w:numPr>
      <w:tabs>
        <w:tab w:val="left" w:pos="420"/>
        <w:tab w:val="left" w:pos="3969"/>
      </w:tabs>
      <w:spacing w:after="60"/>
    </w:pPr>
    <w:rPr>
      <w:rFonts w:ascii="Arial" w:hAnsi="Arial"/>
      <w:lang w:eastAsia="en-US"/>
    </w:rPr>
  </w:style>
  <w:style w:type="paragraph" w:customStyle="1" w:styleId="NormalIndent3">
    <w:name w:val="Normal Indent 3"/>
    <w:rsid w:val="00584ECB"/>
    <w:pPr>
      <w:numPr>
        <w:numId w:val="2"/>
      </w:numPr>
      <w:tabs>
        <w:tab w:val="left" w:pos="420"/>
      </w:tabs>
      <w:spacing w:after="60"/>
    </w:pPr>
    <w:rPr>
      <w:rFonts w:ascii="Arial" w:hAnsi="Arial"/>
      <w:lang w:eastAsia="en-US"/>
    </w:rPr>
  </w:style>
  <w:style w:type="character" w:styleId="Hyperlink">
    <w:name w:val="Hyperlink"/>
    <w:rsid w:val="00584ECB"/>
    <w:rPr>
      <w:color w:val="0000FF"/>
      <w:u w:val="none"/>
      <w:bdr w:val="none" w:sz="0" w:space="0" w:color="auto"/>
    </w:rPr>
  </w:style>
  <w:style w:type="paragraph" w:customStyle="1" w:styleId="Guidancetabletext">
    <w:name w:val="Guidance table text"/>
    <w:basedOn w:val="Instructions"/>
    <w:rsid w:val="00584EC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84ECB"/>
    <w:rPr>
      <w:b/>
      <w:bCs/>
    </w:rPr>
  </w:style>
  <w:style w:type="character" w:customStyle="1" w:styleId="Italic">
    <w:name w:val="Italic"/>
    <w:rsid w:val="00584ECB"/>
    <w:rPr>
      <w:i/>
      <w:iCs/>
    </w:rPr>
  </w:style>
  <w:style w:type="character" w:customStyle="1" w:styleId="Symbol">
    <w:name w:val="Symbol"/>
    <w:rsid w:val="00584ECB"/>
    <w:rPr>
      <w:rFonts w:ascii="Symbol" w:hAnsi="Symbol"/>
    </w:rPr>
  </w:style>
  <w:style w:type="paragraph" w:customStyle="1" w:styleId="Instructions">
    <w:name w:val="Instructions"/>
    <w:basedOn w:val="Normal"/>
    <w:rsid w:val="00584EC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84EC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84EC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84ECB"/>
  </w:style>
  <w:style w:type="paragraph" w:customStyle="1" w:styleId="Tableindent2">
    <w:name w:val="Table indent 2"/>
    <w:rsid w:val="00584ECB"/>
    <w:pPr>
      <w:numPr>
        <w:numId w:val="7"/>
      </w:numPr>
      <w:tabs>
        <w:tab w:val="left" w:pos="284"/>
      </w:tabs>
    </w:pPr>
    <w:rPr>
      <w:rFonts w:ascii="Arial" w:hAnsi="Arial"/>
      <w:lang w:eastAsia="en-US"/>
    </w:rPr>
  </w:style>
  <w:style w:type="paragraph" w:styleId="TOC1">
    <w:name w:val="toc 1"/>
    <w:basedOn w:val="Normal"/>
    <w:next w:val="Normal"/>
    <w:autoRedefine/>
    <w:semiHidden/>
    <w:rsid w:val="00584ECB"/>
    <w:pPr>
      <w:tabs>
        <w:tab w:val="clear" w:pos="3969"/>
      </w:tabs>
    </w:pPr>
    <w:rPr>
      <w:b/>
    </w:rPr>
  </w:style>
  <w:style w:type="paragraph" w:styleId="TOC2">
    <w:name w:val="toc 2"/>
    <w:basedOn w:val="Normal"/>
    <w:next w:val="Normal"/>
    <w:autoRedefine/>
    <w:semiHidden/>
    <w:rsid w:val="00584ECB"/>
    <w:pPr>
      <w:tabs>
        <w:tab w:val="clear" w:pos="3969"/>
      </w:tabs>
      <w:ind w:left="200"/>
    </w:pPr>
    <w:rPr>
      <w:b/>
    </w:rPr>
  </w:style>
  <w:style w:type="paragraph" w:customStyle="1" w:styleId="Instructionsindent2">
    <w:name w:val="Instructions indent 2"/>
    <w:rsid w:val="00584EC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84ECB"/>
    <w:rPr>
      <w:color w:val="993300"/>
    </w:rPr>
  </w:style>
  <w:style w:type="paragraph" w:customStyle="1" w:styleId="Promptindent">
    <w:name w:val="Prompt indent"/>
    <w:basedOn w:val="NormalIndent"/>
    <w:rsid w:val="00584ECB"/>
    <w:pPr>
      <w:numPr>
        <w:numId w:val="9"/>
      </w:numPr>
    </w:pPr>
    <w:rPr>
      <w:color w:val="993300"/>
    </w:rPr>
  </w:style>
  <w:style w:type="paragraph" w:customStyle="1" w:styleId="Promptindent2">
    <w:name w:val="Prompt indent 2"/>
    <w:basedOn w:val="NormalIndent2"/>
    <w:rsid w:val="00584ECB"/>
    <w:pPr>
      <w:numPr>
        <w:numId w:val="10"/>
      </w:numPr>
    </w:pPr>
    <w:rPr>
      <w:color w:val="993300"/>
    </w:rPr>
  </w:style>
  <w:style w:type="paragraph" w:customStyle="1" w:styleId="Standard1">
    <w:name w:val="Standard 1"/>
    <w:rsid w:val="00584EC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84ECB"/>
    <w:pPr>
      <w:tabs>
        <w:tab w:val="clear" w:pos="2835"/>
        <w:tab w:val="left" w:pos="3119"/>
      </w:tabs>
      <w:ind w:left="3119" w:hanging="3119"/>
    </w:pPr>
  </w:style>
  <w:style w:type="paragraph" w:customStyle="1" w:styleId="OptionalHeading3">
    <w:name w:val="Optional Heading 3"/>
    <w:basedOn w:val="Heading3"/>
    <w:qFormat/>
    <w:rsid w:val="00584EC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84ECB"/>
    <w:pPr>
      <w:shd w:val="clear" w:color="auto" w:fill="D9D9D9"/>
    </w:pPr>
    <w:rPr>
      <w:rFonts w:ascii="Calibri" w:hAnsi="Calibri"/>
      <w:vanish/>
      <w:color w:val="365F91"/>
    </w:rPr>
  </w:style>
  <w:style w:type="paragraph" w:customStyle="1" w:styleId="OptionalNormal">
    <w:name w:val="Optional Normal"/>
    <w:basedOn w:val="Normal"/>
    <w:qFormat/>
    <w:rsid w:val="00584ECB"/>
    <w:pPr>
      <w:shd w:val="clear" w:color="auto" w:fill="D9D9D9"/>
    </w:pPr>
    <w:rPr>
      <w:rFonts w:ascii="Calibri" w:hAnsi="Calibri"/>
      <w:vanish/>
      <w:color w:val="365F91"/>
    </w:rPr>
  </w:style>
  <w:style w:type="paragraph" w:customStyle="1" w:styleId="OptionalNormalIndent">
    <w:name w:val="Optional Normal Indent"/>
    <w:rsid w:val="00584EC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84ECB"/>
    <w:pPr>
      <w:shd w:val="clear" w:color="auto" w:fill="D9D9D9"/>
    </w:pPr>
    <w:rPr>
      <w:rFonts w:ascii="Calibri" w:hAnsi="Calibri"/>
      <w:vanish/>
      <w:color w:val="365F91"/>
    </w:rPr>
  </w:style>
  <w:style w:type="paragraph" w:customStyle="1" w:styleId="OptionalTabletitle">
    <w:name w:val="Optional Table title"/>
    <w:basedOn w:val="Tabletitle"/>
    <w:qFormat/>
    <w:rsid w:val="00584ECB"/>
    <w:pPr>
      <w:shd w:val="clear" w:color="auto" w:fill="D9D9D9"/>
    </w:pPr>
    <w:rPr>
      <w:rFonts w:ascii="Calibri" w:hAnsi="Calibri"/>
      <w:vanish/>
      <w:color w:val="365F91"/>
    </w:rPr>
  </w:style>
  <w:style w:type="paragraph" w:customStyle="1" w:styleId="OptionalPromptindent">
    <w:name w:val="Optional Prompt indent"/>
    <w:basedOn w:val="Promptindent"/>
    <w:rsid w:val="00584EC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84ECB"/>
    <w:pPr>
      <w:numPr>
        <w:numId w:val="0"/>
      </w:numPr>
      <w:shd w:val="clear" w:color="auto" w:fill="D9D9D9"/>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8</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dc:description xmlns:dc="http://purl.org/dc/elements/1.1/">Document generated by PageSeeder.</dc:description>
  <dc:subject xmlns:dc="http://purl.org/dc/elements/1.1/">Oct 19</dc:subject>
  <dc:title xmlns:dc="http://purl.org/dc/elements/1.1/">0437p FIELDERS cladding - specialised panels</dc:title>
  <cp:category>04 ENCLOSURE</cp:category>
</cp:coreProperties>
</file>