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Override PartName="/word/webSettings.xml" ContentType="application/vnd.openxmlformats-officedocument.wordprocessingml.webSettings+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settings.xml" ContentType="application/vnd.openxmlformats-officedocument.wordprocessingml.settings+xml"/>
  <Override PartName="/word/endnotes.xml" ContentType="application/vnd.openxmlformats-officedocument.wordprocessingml.endnotes+xml"/>
  <Override PartName="/word/footer2.xml" ContentType="application/vnd.openxmlformats-officedocument.wordprocessingml.footer+xml"/>
  <Override PartName="/word/glossary/styles.xml" ContentType="application/vnd.openxmlformats-officedocument.wordprocessingml.styles+xml"/>
  <Override PartName="/word/glossary/fontTable.xml" ContentType="application/vnd.openxmlformats-officedocument.wordprocessingml.fontTable+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w:body>
    <w:bookmarkStart w:name="f-28944" w:id="0"/>
    <w:bookmarkEnd w:id="0"/>
    <w:bookmarkStart w:name="f-28944-1" w:id="1"/>
    <w:p>
      <w:pPr>
        <w:pStyle w:val="Heading1"/>
      </w:pPr>
      <w:bookmarkStart w:name="h-28944-1" w:id="2"/>
      <w:r>
        <w:rPr/>
        <w:t xml:space="preserve">0657p APC Resin based seamless flooring</w:t>
      </w:r>
      <w:bookmarkEnd w:id="2"/>
    </w:p>
    <w:bookmarkEnd w:id="1"/>
    <w:bookmarkStart w:name="f-28944-28944.1" w:id="3"/>
    <w:p>
      <w:pPr>
        <w:pStyle w:val="InstructionsHeading4"/>
      </w:pPr>
      <w:bookmarkStart w:name="h-28944-28944.1" w:id="4"/>
      <w:r>
        <w:rPr/>
        <w:t xml:space="preserve">Branded worksection</w:t>
      </w:r>
      <w:bookmarkEnd w:id="4"/>
    </w:p>
    <w:p>
      <w:pPr>
        <w:pStyle w:val="Instructions"/>
      </w:pPr>
      <w:r>
        <w:rPr/>
        <w:t xml:space="preserve">This branded worksection </w:t>
      </w:r>
      <w:r>
        <w:rPr>
          <w:i/>
        </w:rPr>
        <w:t xml:space="preserve">Template</w:t>
      </w:r>
      <w:r>
        <w:rPr/>
        <w:t xml:space="preserve"> has been developed by NATSPEC in conjunction with </w:t>
      </w:r>
      <w:r>
        <w:rPr>
          <w:b/>
        </w:rPr>
        <w:t xml:space="preserve">All Purpose Coatings (APC)</w:t>
      </w:r>
      <w:r>
        <w:rPr/>
        <w:t xml:space="preserve"> (the Product Partner) and may be used whilst the Product Partner is licensed to distribute it. The copyright remains with NATSPEC. As with all NATSPEC worksections, it is the responsibility of the user to make sure it is completed appropriately for the project. The user should also review its applicability for local conditions and regulations. Check </w:t>
      </w:r>
      <w:r>
        <w:fldChar w:fldCharType="begin"/>
      </w:r>
      <w:r>
        <w:instrText xml:space="preserve"> HYPERLINK "https://www.natspec.com.au/" </w:instrText>
      </w:r>
      <w:r>
        <w:fldChar w:fldCharType="separate"/>
      </w:r>
      <w:r>
        <w:rPr>
          <w:rStyle w:val="Hyperlink"/>
        </w:rPr>
        <w:t>www.natspec.com.au</w:t>
      </w:r>
      <w:r>
        <w:fldChar w:fldCharType="end"/>
      </w:r>
      <w:r>
        <w:rPr/>
        <w:t xml:space="preserve"> for the latest updated version.</w:t>
      </w:r>
    </w:p>
    <w:bookmarkEnd w:id="3"/>
    <w:bookmarkStart w:name="f-28944-t2-1" w:id="5"/>
    <w:p>
      <w:pPr>
        <w:pStyle w:val="InstructionsHeading4"/>
      </w:pPr>
      <w:bookmarkStart w:name="h-28944-t2-1" w:id="6"/>
      <w:r>
        <w:rPr/>
        <w:t xml:space="preserve">Worksection abstract</w:t>
      </w:r>
      <w:bookmarkEnd w:id="6"/>
    </w:p>
    <w:p>
      <w:pPr>
        <w:pStyle w:val="Instructions"/>
      </w:pPr>
      <w:r>
        <w:rPr/>
        <w:t xml:space="preserve">This branded worksection </w:t>
      </w:r>
      <w:r>
        <w:rPr>
          <w:i/>
        </w:rPr>
        <w:t xml:space="preserve">Template</w:t>
      </w:r>
      <w:r>
        <w:rPr/>
        <w:t xml:space="preserve"> is applicable to resin based flooring by </w:t>
      </w:r>
      <w:r>
        <w:rPr>
          <w:b/>
        </w:rPr>
        <w:t xml:space="preserve">All Purpose Coatings (APC)</w:t>
      </w:r>
      <w:r>
        <w:rPr/>
        <w:t xml:space="preserve">, including epoxy, polyurethane and polyaspartic resins. It also includes concrete treatment products.</w:t>
      </w:r>
    </w:p>
    <w:bookmarkEnd w:id="5"/>
    <w:bookmarkStart w:name="f-28944-t3-1" w:id="7"/>
    <w:p>
      <w:pPr>
        <w:pStyle w:val="InstructionsHeading4"/>
      </w:pPr>
      <w:bookmarkStart w:name="h-28944-t3-1" w:id="8"/>
      <w:r>
        <w:rPr/>
        <w:t xml:space="preserve">Background</w:t>
      </w:r>
      <w:bookmarkEnd w:id="8"/>
    </w:p>
    <w:p>
      <w:pPr>
        <w:pStyle w:val="Instructions"/>
      </w:pPr>
      <w:r>
        <w:rPr/>
        <w:t xml:space="preserve">In the absence of an applicable Australian Standard, BS 8204‑6 (2008) and the </w:t>
      </w:r>
      <w:r>
        <w:rPr>
          <w:i/>
        </w:rPr>
        <w:t xml:space="preserve">FeRFA guide to the specification and application of synthetic resin flooring (2024)</w:t>
      </w:r>
      <w:r>
        <w:rPr/>
        <w:t xml:space="preserve">, published by FeRFA, the Resin Flooring Association, may provide further information.</w:t>
      </w:r>
    </w:p>
    <w:bookmarkEnd w:id="7"/>
    <w:bookmarkStart w:name="f-28944-4" w:id="9"/>
    <w:bookmarkStart w:name="f-8831" w:id="10"/>
    <w:bookmarkStart w:name="f-8831-99906-2" w:id="11"/>
    <w:p>
      <w:pPr>
        <w:pStyle w:val="InstructionsHeading4"/>
      </w:pPr>
      <w:bookmarkStart w:name="h-8831-99906-2" w:id="12"/>
      <w:r>
        <w:rPr/>
        <w:t xml:space="preserve">How to use this worksection</w:t>
      </w:r>
      <w:bookmarkEnd w:id="12"/>
    </w:p>
    <w:p>
      <w:pPr>
        <w:pStyle w:val="Instructions"/>
      </w:pPr>
      <w:r>
        <w:rPr/>
        <w:t xml:space="preserve">Customise this worksection </w:t>
      </w:r>
      <w:r>
        <w:rPr>
          <w:i/>
        </w:rPr>
        <w:t xml:space="preserve">Template</w:t>
      </w:r>
      <w:r>
        <w:rPr/>
        <w:t xml:space="preserve"> for each project. See </w:t>
      </w:r>
      <w:r>
        <w:fldChar w:fldCharType="begin"/>
      </w:r>
      <w:r>
        <w:instrText xml:space="preserve"> HYPERLINK "https://www.natspec.com.au/a-guide-to-natspec-worksections" </w:instrText>
      </w:r>
      <w:r>
        <w:fldChar w:fldCharType="separate"/>
      </w:r>
      <w:r>
        <w:rPr>
          <w:rStyle w:val="Hyperlink"/>
        </w:rPr>
        <w:t>A guide to NATSPEC worksections</w:t>
      </w:r>
      <w:r>
        <w:fldChar w:fldCharType="end"/>
      </w:r>
      <w:r>
        <w:rPr/>
        <w:t xml:space="preserve"> (</w:t>
      </w:r>
      <w:r>
        <w:fldChar w:fldCharType="begin"/>
      </w:r>
      <w:r>
        <w:instrText xml:space="preserve"> HYPERLINK "https://www.natspec.com.au/a-guide-to-natspec-worksections" </w:instrText>
      </w:r>
      <w:r>
        <w:fldChar w:fldCharType="separate"/>
      </w:r>
      <w:r>
        <w:rPr>
          <w:rStyle w:val="Hyperlink"/>
        </w:rPr>
        <w:t>www.natspec.com.au</w:t>
      </w:r>
      <w:r>
        <w:fldChar w:fldCharType="end"/>
      </w:r>
      <w:r>
        <w:rPr/>
        <w:t xml:space="preserve">) for information on </w:t>
      </w:r>
      <w:r>
        <w:rPr>
          <w:i/>
        </w:rPr>
        <w:t xml:space="preserve">Template</w:t>
      </w:r>
      <w:r>
        <w:rPr/>
        <w:t xml:space="preserve"> structure, word styles and completing a worksection.</w:t>
      </w:r>
    </w:p>
    <w:bookmarkEnd w:id="11"/>
    <w:bookmarkEnd w:id="10"/>
    <w:bookmarkEnd w:id="9"/>
    <w:bookmarkStart w:name="f-28944-t4-1" w:id="13"/>
    <w:bookmarkStart w:name="f-8177" w:id="14"/>
    <w:bookmarkStart w:name="f-8177-1" w:id="15"/>
    <w:p>
      <w:pPr>
        <w:pStyle w:val="InstructionsHeading4"/>
      </w:pPr>
      <w:bookmarkStart w:name="h-8177-1" w:id="16"/>
      <w:r>
        <w:rPr/>
        <w:t xml:space="preserve">Related material located elsewhere in NATSPEC</w:t>
      </w:r>
      <w:bookmarkEnd w:id="16"/>
    </w:p>
    <w:p>
      <w:pPr>
        <w:pStyle w:val="Instructions"/>
      </w:pPr>
      <w:r>
        <w:rPr/>
        <w:t xml:space="preserve">If a listed worksection is not part of your subscription package and you wish to purchase it, contact NATSPEC.</w:t>
      </w:r>
    </w:p>
    <w:p>
      <w:pPr>
        <w:pStyle w:val="Instructions"/>
      </w:pPr>
      <w:r>
        <w:rPr/>
        <w:t xml:space="preserve">Related material may be found in other worksections, including:</w:t>
      </w:r>
    </w:p>
    <w:bookmarkEnd w:id="15"/>
    <w:bookmarkEnd w:id="14"/>
    <w:p>
      <w:pPr>
        <w:pStyle w:val="Instructionsindent"/>
      </w:pPr>
      <w:r>
        <w:rPr>
          <w:i/>
        </w:rPr>
        <w:t xml:space="preserve">0315 Concrete finishes</w:t>
      </w:r>
      <w:r>
        <w:rPr/>
        <w:t xml:space="preserve"> for substrates.</w:t>
      </w:r>
    </w:p>
    <w:p>
      <w:pPr>
        <w:pStyle w:val="Instructionsindent"/>
      </w:pPr>
      <w:r>
        <w:rPr>
          <w:i/>
        </w:rPr>
        <w:t xml:space="preserve">0651 Resilient finishes</w:t>
      </w:r>
      <w:r>
        <w:rPr/>
        <w:t xml:space="preserve">.</w:t>
      </w:r>
    </w:p>
    <w:bookmarkEnd w:id="13"/>
    <w:bookmarkStart w:name="f-28944-t7-1" w:id="17"/>
    <w:p>
      <w:pPr>
        <w:pStyle w:val="InstructionsHeading4"/>
      </w:pPr>
      <w:bookmarkStart w:name="h-28944-t7-1" w:id="18"/>
      <w:r>
        <w:rPr/>
        <w:t xml:space="preserve">Documenting this and related work</w:t>
      </w:r>
      <w:bookmarkEnd w:id="18"/>
    </w:p>
    <w:p>
      <w:pPr>
        <w:pStyle w:val="Instructions"/>
      </w:pPr>
      <w:r>
        <w:rPr/>
        <w:t xml:space="preserve">You may document this and related work as follows:</w:t>
      </w:r>
    </w:p>
    <w:p>
      <w:pPr>
        <w:pStyle w:val="Instructionsindent"/>
      </w:pPr>
      <w:r>
        <w:rPr/>
        <w:t xml:space="preserve">Nominate the locations of finishes, finish abutments, control joints, finished floor levels and falls on drawings to your office documentation policy.</w:t>
      </w:r>
    </w:p>
    <w:bookmarkStart w:name="f-8338" w:id="19"/>
    <w:bookmarkStart w:name="f-8338-1" w:id="20"/>
    <w:p>
      <w:pPr>
        <w:pStyle w:val="Instructions"/>
      </w:pPr>
      <w:r>
        <w:rPr/>
        <w:t xml:space="preserve">The </w:t>
      </w:r>
      <w:r>
        <w:rPr>
          <w:i/>
        </w:rPr>
        <w:t xml:space="preserve">Normal</w:t>
      </w:r>
      <w:r>
        <w:rPr/>
        <w:t xml:space="preserve"> style text of this worksection may refer to items as being documented elsewhere in the contract documentation. Make sure they are documented.</w:t>
      </w:r>
    </w:p>
    <w:bookmarkEnd w:id="20"/>
    <w:bookmarkEnd w:id="19"/>
    <w:bookmarkEnd w:id="17"/>
    <w:bookmarkStart w:name="f-28944-3" w:id="21"/>
    <w:bookmarkStart w:name="f-6972" w:id="22"/>
    <w:bookmarkStart w:name="f-6972-1" w:id="23"/>
    <w:p>
      <w:pPr>
        <w:pStyle w:val="Instructions"/>
      </w:pPr>
      <w:r>
        <w:rPr/>
        <w:t xml:space="preserve">Search </w:t>
      </w:r>
      <w:r>
        <w:fldChar w:fldCharType="begin"/>
      </w:r>
      <w:r>
        <w:instrText xml:space="preserve"> HYPERLINK "https://acumen.architecture.com.au/" </w:instrText>
      </w:r>
      <w:r>
        <w:fldChar w:fldCharType="separate"/>
      </w:r>
      <w:r>
        <w:rPr>
          <w:rStyle w:val="Hyperlink"/>
        </w:rPr>
        <w:t>acumen.architecture.com.au</w:t>
      </w:r>
      <w:r>
        <w:fldChar w:fldCharType="end"/>
      </w:r>
      <w:r>
        <w:rPr/>
        <w:t xml:space="preserve">, the Australian Institute of Architects' practice advisory subscription service, for notes on the following:</w:t>
      </w:r>
    </w:p>
    <w:bookmarkEnd w:id="23"/>
    <w:bookmarkEnd w:id="22"/>
    <w:p>
      <w:pPr>
        <w:pStyle w:val="Instructionsindent"/>
      </w:pPr>
      <w:r>
        <w:rPr/>
        <w:t xml:space="preserve">Guarantees and warranties.</w:t>
      </w:r>
    </w:p>
    <w:p>
      <w:pPr>
        <w:pStyle w:val="Instructionsindent"/>
      </w:pPr>
      <w:r>
        <w:rPr/>
        <w:t xml:space="preserve">Slip resistance compliance and testing.</w:t>
      </w:r>
    </w:p>
    <w:p>
      <w:pPr>
        <w:pStyle w:val="Instructionsindent"/>
      </w:pPr>
      <w:r>
        <w:rPr/>
        <w:t xml:space="preserve">Slip resistance design considerations.</w:t>
      </w:r>
    </w:p>
    <w:bookmarkEnd w:id="21"/>
    <w:bookmarkStart w:name="f-28944-2" w:id="24"/>
    <w:bookmarkStart w:name="f-28940" w:id="25"/>
    <w:bookmarkStart w:name="f-28940-1" w:id="26"/>
    <w:p>
      <w:pPr>
        <w:pStyle w:val="Heading2"/>
      </w:pPr>
      <w:bookmarkStart w:name="h-28940-1" w:id="27"/>
      <w:r>
        <w:rPr/>
        <w:t xml:space="preserve">GENERAL</w:t>
      </w:r>
      <w:bookmarkEnd w:id="27"/>
    </w:p>
    <w:bookmarkEnd w:id="26"/>
    <w:bookmarkStart w:name="f-28940-28940.1" w:id="28"/>
    <w:p>
      <w:pPr>
        <w:pStyle w:val="Instructions"/>
      </w:pPr>
      <w:r>
        <w:rPr/>
        <w:t xml:space="preserve">All Purpose Coatings (APC) is a family‑owned Australian company specialising in the design, formulation and manufacture of premium protective floor coatings for residential, commercial, industrial and government sectors. Founded by CEO Charmaine Ashford and Managing Director Christopher Ashford, the company draws on their extensive experience in the application and manufacturing industries. Our dedicated and passionate team remains at the forefront of the market, embracing emerging technologies and continuously redefining the coatings industry.</w:t>
      </w:r>
    </w:p>
    <w:bookmarkEnd w:id="28"/>
    <w:bookmarkStart w:name="f-28940-2" w:id="29"/>
    <w:p>
      <w:pPr>
        <w:pStyle w:val="Heading3"/>
      </w:pPr>
      <w:bookmarkStart w:name="h-28940-2" w:id="30"/>
      <w:r>
        <w:rPr/>
        <w:t xml:space="preserve">RESPONSIBILITIES</w:t>
      </w:r>
      <w:bookmarkEnd w:id="30"/>
    </w:p>
    <w:bookmarkEnd w:id="29"/>
    <w:bookmarkStart w:name="f-28940-3" w:id="31"/>
    <w:p>
      <w:pPr>
        <w:pStyle w:val="Heading4"/>
      </w:pPr>
      <w:bookmarkStart w:name="h-28940-3" w:id="32"/>
      <w:r>
        <w:rPr/>
        <w:t xml:space="preserve">General</w:t>
      </w:r>
      <w:bookmarkEnd w:id="32"/>
    </w:p>
    <w:p>
      <w:pPr>
        <w:pStyle w:val="Body Text"/>
      </w:pPr>
      <w:r>
        <w:rPr/>
        <w:t xml:space="preserve">Requirement: Provide All Purpose Coatings (APC) resin based floor finishes to substrates, as documented.</w:t>
      </w:r>
    </w:p>
    <w:bookmarkStart w:name="f-23055" w:id="33"/>
    <w:bookmarkStart w:name="f-23055-1" w:id="34"/>
    <w:p>
      <w:pPr>
        <w:pStyle w:val="Instructions"/>
      </w:pPr>
      <w:r>
        <w:rPr>
          <w:i/>
        </w:rPr>
        <w:t xml:space="preserve">Documented</w:t>
      </w:r>
      <w:r>
        <w:rPr/>
        <w:t xml:space="preserve"> is defined in </w:t>
      </w:r>
      <w:r>
        <w:rPr>
          <w:i/>
        </w:rPr>
        <w:t xml:space="preserve">0171 General requirements</w:t>
      </w:r>
      <w:r>
        <w:rPr/>
        <w:t xml:space="preserve"> as meaning contained in the contract documents.</w:t>
      </w:r>
    </w:p>
    <w:bookmarkEnd w:id="34"/>
    <w:bookmarkEnd w:id="33"/>
    <w:bookmarkEnd w:id="31"/>
    <w:bookmarkStart w:name="f-28940-4" w:id="35"/>
    <w:p>
      <w:pPr>
        <w:pStyle w:val="Heading4"/>
      </w:pPr>
      <w:bookmarkStart w:name="h-28940-4" w:id="36"/>
      <w:r>
        <w:rPr/>
        <w:t xml:space="preserve">Performance</w:t>
      </w:r>
      <w:bookmarkEnd w:id="36"/>
    </w:p>
    <w:p>
      <w:pPr>
        <w:pStyle w:val="Body Text"/>
      </w:pPr>
      <w:r>
        <w:rPr/>
        <w:t xml:space="preserve">Requirement:</w:t>
      </w:r>
    </w:p>
    <w:p>
      <w:pPr>
        <w:pStyle w:val="NormalIndent"/>
      </w:pPr>
      <w:r>
        <w:rPr/>
        <w:t xml:space="preserve">Forming a strong permanent bond to the substrate.</w:t>
      </w:r>
    </w:p>
    <w:p>
      <w:pPr>
        <w:pStyle w:val="NormalIndent"/>
      </w:pPr>
      <w:r>
        <w:rPr/>
        <w:t xml:space="preserve">Impermeable to liquids.</w:t>
      </w:r>
    </w:p>
    <w:p>
      <w:pPr>
        <w:pStyle w:val="NormalIndent"/>
      </w:pPr>
      <w:r>
        <w:rPr/>
        <w:t xml:space="preserve">Hygienic and easily cleaned.</w:t>
      </w:r>
    </w:p>
    <w:p>
      <w:pPr>
        <w:pStyle w:val="NormalIndent"/>
      </w:pPr>
      <w:r>
        <w:rPr/>
        <w:t xml:space="preserve">Slip‑resistant.</w:t>
      </w:r>
    </w:p>
    <w:p>
      <w:pPr>
        <w:pStyle w:val="NormalIndent"/>
      </w:pPr>
      <w:r>
        <w:rPr/>
        <w:t xml:space="preserve">Chemical resistant.</w:t>
      </w:r>
    </w:p>
    <w:p>
      <w:pPr>
        <w:pStyle w:val="Instructions"/>
      </w:pPr>
      <w:r>
        <w:rPr/>
        <w:t xml:space="preserve">Edit to suit the project. Delete slip‑resistant or chemical resistant if not required.</w:t>
      </w:r>
    </w:p>
    <w:p>
      <w:pPr>
        <w:pStyle w:val="Instructions"/>
      </w:pPr>
      <w:r>
        <w:rPr/>
        <w:t xml:space="preserve">The design aim is to select a flooring system with performance characteristics that satisfy the anticipated usage.</w:t>
      </w:r>
    </w:p>
    <w:bookmarkEnd w:id="35"/>
    <w:bookmarkStart w:name="f-28940-28940.2" w:id="37"/>
    <w:p>
      <w:pPr>
        <w:pStyle w:val="Heading3"/>
      </w:pPr>
      <w:bookmarkStart w:name="h-28940-28940.2" w:id="38"/>
      <w:r>
        <w:rPr/>
        <w:t xml:space="preserve">COMPANY CONTACTS</w:t>
      </w:r>
      <w:bookmarkEnd w:id="38"/>
    </w:p>
    <w:bookmarkEnd w:id="37"/>
    <w:bookmarkStart w:name="f-28940-28940.3" w:id="39"/>
    <w:p>
      <w:pPr>
        <w:pStyle w:val="Heading4"/>
      </w:pPr>
      <w:bookmarkStart w:name="h-28940-28940.3" w:id="40"/>
      <w:r>
        <w:rPr/>
        <w:t xml:space="preserve">APC technical contacts</w:t>
      </w:r>
      <w:bookmarkEnd w:id="40"/>
    </w:p>
    <w:p>
      <w:pPr>
        <w:pStyle w:val="Body Text"/>
      </w:pPr>
      <w:r>
        <w:rPr/>
        <w:t xml:space="preserve">Website: </w:t>
      </w:r>
      <w:r>
        <w:fldChar w:fldCharType="begin"/>
      </w:r>
      <w:r>
        <w:instrText xml:space="preserve"> HYPERLINK "https://allpurposecoatings.com.au/request-specification" </w:instrText>
      </w:r>
      <w:r>
        <w:fldChar w:fldCharType="separate"/>
      </w:r>
      <w:r>
        <w:rPr>
          <w:rStyle w:val="Hyperlink"/>
        </w:rPr>
        <w:t>allpurposecoatings.com.au/request-specification</w:t>
      </w:r>
      <w:r>
        <w:fldChar w:fldCharType="end"/>
      </w:r>
      <w:r>
        <w:rPr/>
        <w:t xml:space="preserve">.</w:t>
      </w:r>
    </w:p>
    <w:bookmarkEnd w:id="39"/>
    <w:bookmarkStart w:name="f-28940-5" w:id="41"/>
    <w:p>
      <w:pPr>
        <w:pStyle w:val="Heading3"/>
      </w:pPr>
      <w:bookmarkStart w:name="h-28940-5" w:id="42"/>
      <w:r>
        <w:rPr/>
        <w:t xml:space="preserve">CROSS REFERENCES</w:t>
      </w:r>
      <w:bookmarkEnd w:id="42"/>
    </w:p>
    <w:bookmarkEnd w:id="41"/>
    <w:bookmarkStart w:name="f-28940-6" w:id="43"/>
    <w:bookmarkStart w:name="f-7977" w:id="44"/>
    <w:bookmarkStart w:name="f-7977-1" w:id="45"/>
    <w:p>
      <w:pPr>
        <w:pStyle w:val="Heading4"/>
      </w:pPr>
      <w:bookmarkStart w:name="h-7977-1" w:id="46"/>
      <w:r>
        <w:rPr/>
        <w:t xml:space="preserve">General</w:t>
      </w:r>
      <w:bookmarkEnd w:id="46"/>
    </w:p>
    <w:p>
      <w:pPr>
        <w:pStyle w:val="Body Text"/>
      </w:pPr>
      <w:r>
        <w:rPr/>
        <w:t xml:space="preserve">Requirement: Conform to the following:</w:t>
      </w:r>
    </w:p>
    <w:p>
      <w:pPr>
        <w:pStyle w:val="NormalIndent"/>
      </w:pPr>
      <w:r>
        <w:rPr>
          <w:i/>
        </w:rPr>
        <w:t xml:space="preserve">0171 General requirements</w:t>
      </w:r>
      <w:r>
        <w:rPr/>
        <w:t xml:space="preserve">.</w:t>
      </w:r>
    </w:p>
    <w:p>
      <w:pPr>
        <w:pStyle w:val="Instructions"/>
      </w:pPr>
      <w:r>
        <w:rPr>
          <w:i/>
        </w:rPr>
        <w:t xml:space="preserve">0171 General requirements</w:t>
      </w:r>
      <w:r>
        <w:rPr/>
        <w:t xml:space="preserve"> contains umbrella requirements for all building and services worksections.</w:t>
      </w:r>
    </w:p>
    <w:p>
      <w:pPr>
        <w:pStyle w:val="Instructions"/>
      </w:pPr>
      <w:r>
        <w:rPr/>
        <w:t xml:space="preserve">List the worksections cross referenced by this worksection. </w:t>
      </w:r>
      <w:r>
        <w:rPr>
          <w:i/>
        </w:rPr>
        <w:t xml:space="preserve">0171 General requirements</w:t>
      </w:r>
      <w:r>
        <w:rPr/>
        <w:t xml:space="preserve"> references the </w:t>
      </w:r>
      <w:r>
        <w:rPr>
          <w:i/>
        </w:rPr>
        <w:t xml:space="preserve">018 Common requirements</w:t>
      </w:r>
      <w:r>
        <w:rPr/>
        <w:t xml:space="preserve"> subgroup of worksections. It is not necessary to repeat them here. However, you may also wish to direct the contractor to other worksections where there may be work that is closely associated with this work.</w:t>
      </w:r>
    </w:p>
    <w:p>
      <w:pPr>
        <w:pStyle w:val="Instructions"/>
      </w:pPr>
      <w:r>
        <w:rPr/>
        <w:t xml:space="preserve">NATSPEC uses generic worksection titles, whether or not there are branded equivalents. If you use a branded worksection, change the cross reference here. Refer to NATSPEC TECHnote GEN 008 on generic and branded worksections and their relative advantages.</w:t>
      </w:r>
    </w:p>
    <w:bookmarkEnd w:id="45"/>
    <w:bookmarkEnd w:id="44"/>
    <w:bookmarkEnd w:id="43"/>
    <w:bookmarkStart w:name="f-28940-28940.4" w:id="47"/>
    <w:p>
      <w:pPr>
        <w:pStyle w:val="Heading3"/>
      </w:pPr>
      <w:bookmarkStart w:name="h-28940-28940.4" w:id="48"/>
      <w:r>
        <w:rPr/>
        <w:t xml:space="preserve">MANUFACTURER'S DOCUMENTS</w:t>
      </w:r>
      <w:bookmarkEnd w:id="48"/>
    </w:p>
    <w:bookmarkEnd w:id="47"/>
    <w:bookmarkStart w:name="f-28940-28940.5" w:id="49"/>
    <w:p>
      <w:pPr>
        <w:pStyle w:val="Heading4"/>
      </w:pPr>
      <w:bookmarkStart w:name="h-28940-28940.5" w:id="50"/>
      <w:r>
        <w:rPr/>
        <w:t xml:space="preserve">Technical manuals</w:t>
      </w:r>
      <w:bookmarkEnd w:id="50"/>
    </w:p>
    <w:p>
      <w:pPr>
        <w:pStyle w:val="Body Text"/>
      </w:pPr>
      <w:r>
        <w:rPr/>
        <w:t xml:space="preserve">Product data: </w:t>
      </w:r>
      <w:r>
        <w:fldChar w:fldCharType="begin"/>
      </w:r>
      <w:r>
        <w:instrText xml:space="preserve"> HYPERLINK "https://allpurposecoatings.com.au/technical-data-sheets" </w:instrText>
      </w:r>
      <w:r>
        <w:fldChar w:fldCharType="separate"/>
      </w:r>
      <w:r>
        <w:rPr>
          <w:rStyle w:val="Hyperlink"/>
        </w:rPr>
        <w:t>allpurposecoatings.com.au/technical-data-sheets</w:t>
      </w:r>
      <w:r>
        <w:fldChar w:fldCharType="end"/>
      </w:r>
      <w:r>
        <w:rPr/>
        <w:t xml:space="preserve">.</w:t>
      </w:r>
    </w:p>
    <w:p>
      <w:pPr>
        <w:pStyle w:val="Body Text"/>
      </w:pPr>
      <w:r>
        <w:rPr/>
        <w:t xml:space="preserve">Installation: </w:t>
      </w:r>
      <w:r>
        <w:fldChar w:fldCharType="begin"/>
      </w:r>
      <w:r>
        <w:instrText xml:space="preserve"> HYPERLINK "https://allpurposecoatings.com.au/installation-instructions" </w:instrText>
      </w:r>
      <w:r>
        <w:fldChar w:fldCharType="separate"/>
      </w:r>
      <w:r>
        <w:rPr>
          <w:rStyle w:val="Hyperlink"/>
        </w:rPr>
        <w:t>allpurposecoatings.com.au/installation-instructions</w:t>
      </w:r>
      <w:r>
        <w:fldChar w:fldCharType="end"/>
      </w:r>
      <w:r>
        <w:rPr/>
        <w:t xml:space="preserve">.</w:t>
      </w:r>
    </w:p>
    <w:bookmarkEnd w:id="49"/>
    <w:bookmarkStart w:name="f-28940-9" w:id="51"/>
    <w:p>
      <w:pPr>
        <w:pStyle w:val="Heading3"/>
      </w:pPr>
      <w:bookmarkStart w:name="h-28940-9" w:id="52"/>
      <w:r>
        <w:rPr/>
        <w:t xml:space="preserve">INTERPRETATION</w:t>
      </w:r>
      <w:bookmarkEnd w:id="52"/>
    </w:p>
    <w:bookmarkEnd w:id="51"/>
    <w:bookmarkStart w:name="f-28940-11" w:id="53"/>
    <w:p>
      <w:pPr>
        <w:pStyle w:val="Heading4"/>
      </w:pPr>
      <w:bookmarkStart w:name="h-28940-11" w:id="54"/>
      <w:r>
        <w:rPr/>
        <w:t xml:space="preserve">Definitions</w:t>
      </w:r>
      <w:bookmarkEnd w:id="54"/>
    </w:p>
    <w:p>
      <w:pPr>
        <w:pStyle w:val="Body Text"/>
      </w:pPr>
      <w:r>
        <w:rPr/>
        <w:t xml:space="preserve">General: For the purposes of this worksection, the following definitions apply:</w:t>
      </w:r>
    </w:p>
    <w:bookmarkEnd w:id="53"/>
    <w:bookmarkStart w:name="f-28940-11-d2-1" w:id="55"/>
    <w:p>
      <w:pPr>
        <w:pStyle w:val="NormalIndent"/>
      </w:pPr>
      <w:r>
        <w:rPr/>
        <w:t xml:space="preserve">Resin based seamless floor finish: Any combination of a resin based flooring system that combines two‑part resins, with or without an aggregate, to provide a continuous floor coating without joints except those that may already exist in the substrate.</w:t>
      </w:r>
    </w:p>
    <w:p>
      <w:pPr>
        <w:pStyle w:val="Instructions"/>
      </w:pPr>
      <w:r>
        <w:rPr/>
        <w:t xml:space="preserve">Resin systems may include water‑based, solvent‑based, 100% solids epoxies; polyesters; polyurethanes (PU); vinyl esters; polyaspartic; and methyl methacrylates.</w:t>
      </w:r>
    </w:p>
    <w:bookmarkEnd w:id="55"/>
    <w:bookmarkStart w:name="f-28940-11-d4-1" w:id="56"/>
    <w:p>
      <w:pPr>
        <w:pStyle w:val="NormalIndent"/>
      </w:pPr>
      <w:r>
        <w:rPr/>
        <w:t xml:space="preserve">Substrate: The surface to which a material or product is applied.</w:t>
      </w:r>
    </w:p>
    <w:bookmarkEnd w:id="56"/>
    <w:bookmarkStart w:name="f-28940-11-d5" w:id="57"/>
    <w:bookmarkStart w:name="f-7220" w:id="58"/>
    <w:bookmarkStart w:name="f-7220-1" w:id="59"/>
    <w:p>
      <w:pPr>
        <w:pStyle w:val="Instructions"/>
      </w:pPr>
      <w:r>
        <w:rPr/>
        <w:t xml:space="preserve">Edit the </w:t>
      </w:r>
      <w:r>
        <w:rPr>
          <w:b/>
        </w:rPr>
        <w:t xml:space="preserve">Definitions</w:t>
      </w:r>
      <w:r>
        <w:rPr/>
        <w:t xml:space="preserve"> subclause to suit the project or delete if not required. List alphabetically.</w:t>
      </w:r>
    </w:p>
    <w:bookmarkEnd w:id="59"/>
    <w:bookmarkEnd w:id="58"/>
    <w:bookmarkEnd w:id="57"/>
    <w:bookmarkStart w:name="f-28940-14" w:id="60"/>
    <w:p>
      <w:pPr>
        <w:pStyle w:val="Heading3"/>
      </w:pPr>
      <w:bookmarkStart w:name="h-28940-14" w:id="61"/>
      <w:r>
        <w:rPr/>
        <w:t xml:space="preserve">SUBMISSIONS</w:t>
      </w:r>
      <w:bookmarkEnd w:id="61"/>
    </w:p>
    <w:bookmarkEnd w:id="60"/>
    <w:bookmarkStart w:name="f-28940-15" w:id="62"/>
    <w:p>
      <w:pPr>
        <w:pStyle w:val="Heading4"/>
      </w:pPr>
      <w:bookmarkStart w:name="h-28940-15" w:id="63"/>
      <w:r>
        <w:rPr/>
        <w:t xml:space="preserve">Fire performance</w:t>
      </w:r>
      <w:bookmarkEnd w:id="63"/>
    </w:p>
    <w:p>
      <w:pPr>
        <w:pStyle w:val="Body Text"/>
      </w:pPr>
      <w:r>
        <w:rPr/>
        <w:t xml:space="preserve">Fire hazard properties: Submit evidence of conformity to </w:t>
      </w:r>
      <w:r>
        <w:rPr>
          <w:b/>
        </w:rPr>
        <w:t xml:space="preserve">FIRE PERFORMANCE</w:t>
      </w:r>
      <w:r>
        <w:rPr/>
        <w:t xml:space="preserve">, </w:t>
      </w:r>
      <w:r>
        <w:rPr>
          <w:b/>
        </w:rPr>
        <w:t xml:space="preserve">Fire hazard properties</w:t>
      </w:r>
      <w:r>
        <w:rPr/>
        <w:t xml:space="preserve">.</w:t>
      </w:r>
    </w:p>
    <w:bookmarkEnd w:id="62"/>
    <w:bookmarkStart w:name="f-28940-16" w:id="64"/>
    <w:bookmarkStart w:name="f-6950" w:id="65"/>
    <w:bookmarkStart w:name="f-6950-1" w:id="66"/>
    <w:p>
      <w:pPr>
        <w:pStyle w:val="Heading4"/>
      </w:pPr>
      <w:bookmarkStart w:name="h-6950-1" w:id="67"/>
      <w:r>
        <w:rPr/>
        <w:t xml:space="preserve">Operation and maintenance manuals</w:t>
      </w:r>
      <w:bookmarkEnd w:id="67"/>
    </w:p>
    <w:p>
      <w:pPr>
        <w:pStyle w:val="Body Text"/>
      </w:pPr>
      <w:r>
        <w:rPr/>
        <w:t xml:space="preserve">Requirement: Submit manual to </w:t>
      </w:r>
      <w:r>
        <w:rPr>
          <w:b/>
        </w:rPr>
        <w:t xml:space="preserve">COMPLETION</w:t>
      </w:r>
      <w:r>
        <w:rPr/>
        <w:t xml:space="preserve">, </w:t>
      </w:r>
      <w:r>
        <w:rPr>
          <w:b/>
        </w:rPr>
        <w:t xml:space="preserve">Operation and maintenance manuals</w:t>
      </w:r>
      <w:r>
        <w:rPr/>
        <w:t xml:space="preserve">.</w:t>
      </w:r>
    </w:p>
    <w:bookmarkEnd w:id="66"/>
    <w:bookmarkEnd w:id="65"/>
    <w:bookmarkEnd w:id="64"/>
    <w:bookmarkStart w:name="f-28940-17" w:id="68"/>
    <w:p>
      <w:pPr>
        <w:pStyle w:val="Heading4"/>
      </w:pPr>
      <w:bookmarkStart w:name="h-28940-17" w:id="69"/>
      <w:r>
        <w:rPr/>
        <w:t xml:space="preserve">Products and materials</w:t>
      </w:r>
      <w:bookmarkEnd w:id="69"/>
    </w:p>
    <w:p>
      <w:pPr>
        <w:pStyle w:val="Body Text"/>
      </w:pPr>
      <w:r>
        <w:rPr/>
        <w:t xml:space="preserve">Manufacturer's data: Submit the manufacturer's technical product data for each type of finish, and recommendations for its application in the project, including the following:</w:t>
      </w:r>
    </w:p>
    <w:p>
      <w:pPr>
        <w:pStyle w:val="NormalIndent"/>
      </w:pPr>
      <w:r>
        <w:rPr/>
        <w:t xml:space="preserve">Composition, thickness, finish and time between coats for multi‑coat work.</w:t>
      </w:r>
    </w:p>
    <w:p>
      <w:pPr>
        <w:pStyle w:val="NormalIndent"/>
      </w:pPr>
      <w:r>
        <w:rPr/>
        <w:t xml:space="preserve">Safety data sheets.</w:t>
      </w:r>
    </w:p>
    <w:p>
      <w:pPr>
        <w:pStyle w:val="OptionalNormal"/>
      </w:pPr>
      <w:r>
        <w:rPr/>
        <w:t xml:space="preserve">Type tests: Submit test results for the following:</w:t>
      </w:r>
    </w:p>
    <w:p>
      <w:pPr>
        <w:pStyle w:val="OptionalNormalIndent"/>
      </w:pPr>
      <w:r>
        <w:rPr/>
        <w:t xml:space="preserve">Slip resistance: To PRODUCTS, </w:t>
      </w:r>
      <w:r>
        <w:rPr>
          <w:b/>
        </w:rPr>
        <w:t xml:space="preserve">GENERAL</w:t>
      </w:r>
      <w:r>
        <w:rPr/>
        <w:t xml:space="preserve">, </w:t>
      </w:r>
      <w:r>
        <w:rPr>
          <w:b/>
        </w:rPr>
        <w:t xml:space="preserve">Tests</w:t>
      </w:r>
      <w:r>
        <w:rPr/>
        <w:t xml:space="preserve">.</w:t>
      </w:r>
    </w:p>
    <w:bookmarkStart w:name="f-8391" w:id="70"/>
    <w:bookmarkStart w:name="f-8391-1" w:id="71"/>
    <w:p>
      <w:pPr>
        <w:pStyle w:val="Instructions"/>
      </w:pPr>
      <w:r>
        <w:rPr/>
        <w:t xml:space="preserve">Type tests are carried out off site. However, submission of evidence of a successful type test may be called up here for requirements specified in PRODUCTS.</w:t>
      </w:r>
    </w:p>
    <w:bookmarkEnd w:id="71"/>
    <w:bookmarkEnd w:id="70"/>
    <w:bookmarkEnd w:id="68"/>
    <w:bookmarkStart w:name="f-28940-28940.6" w:id="72"/>
    <w:bookmarkStart w:name="f-9369" w:id="73"/>
    <w:bookmarkStart w:name="f-9369-1" w:id="74"/>
    <w:p>
      <w:pPr>
        <w:pStyle w:val="OptionalNormal"/>
      </w:pPr>
      <w:r>
        <w:rPr/>
        <w:t xml:space="preserve">Evidence of delivery: Submit delivery docket as evidence of delivery of the following:</w:t>
      </w:r>
    </w:p>
    <w:p>
      <w:pPr>
        <w:pStyle w:val="OptionalNormalIndent"/>
      </w:pPr>
      <w:r>
        <w:fldChar w:fldCharType="begin"/>
        <w:instrText xml:space="preserve"> MACROBUTTON  ac_OnHelp [complete/delete]</w:instrText>
        <w:fldChar w:fldCharType="separate"/>
        <w:t xml:space="preserve"> </w:t>
        <w:fldChar w:fldCharType="end"/>
      </w:r>
    </w:p>
    <w:p>
      <w:pPr>
        <w:pStyle w:val="Instructions"/>
      </w:pPr>
      <w:r>
        <w:rPr/>
        <w:t xml:space="preserve">If evidence of delivery to site is required for particular products, consider including this </w:t>
      </w:r>
      <w:r>
        <w:rPr>
          <w:i/>
        </w:rPr>
        <w:t xml:space="preserve">Optional</w:t>
      </w:r>
      <w:r>
        <w:rPr/>
        <w:t xml:space="preserve"> style text by changing to </w:t>
      </w:r>
      <w:r>
        <w:rPr>
          <w:i/>
        </w:rPr>
        <w:t xml:space="preserve">Normal</w:t>
      </w:r>
      <w:r>
        <w:rPr/>
        <w:t xml:space="preserve"> style.</w:t>
      </w:r>
    </w:p>
    <w:bookmarkEnd w:id="74"/>
    <w:bookmarkEnd w:id="73"/>
    <w:bookmarkEnd w:id="72"/>
    <w:bookmarkStart w:name="f-28940-18" w:id="75"/>
    <w:bookmarkStart w:name="f-18073" w:id="76"/>
    <w:bookmarkStart w:name="f-18073-1" w:id="77"/>
    <w:p>
      <w:pPr>
        <w:pStyle w:val="Heading4"/>
      </w:pPr>
      <w:bookmarkStart w:name="h-18073-1" w:id="78"/>
      <w:r>
        <w:rPr/>
        <w:t xml:space="preserve">Samples</w:t>
      </w:r>
      <w:bookmarkEnd w:id="78"/>
    </w:p>
    <w:p>
      <w:pPr>
        <w:pStyle w:val="Body Text"/>
      </w:pPr>
      <w:r>
        <w:rPr/>
        <w:t xml:space="preserve">Requirement: Submit samples to PRODUCTS, </w:t>
      </w:r>
      <w:r>
        <w:rPr>
          <w:b/>
        </w:rPr>
        <w:t xml:space="preserve">GENERAL</w:t>
      </w:r>
      <w:r>
        <w:rPr/>
        <w:t xml:space="preserve">, </w:t>
      </w:r>
      <w:r>
        <w:rPr>
          <w:b/>
        </w:rPr>
        <w:t xml:space="preserve">Samples</w:t>
      </w:r>
      <w:r>
        <w:rPr/>
        <w:t xml:space="preserve">.</w:t>
      </w:r>
    </w:p>
    <w:bookmarkEnd w:id="77"/>
    <w:bookmarkEnd w:id="76"/>
    <w:bookmarkEnd w:id="75"/>
    <w:bookmarkStart w:name="f-28940-19" w:id="79"/>
    <w:p>
      <w:pPr>
        <w:pStyle w:val="Heading4"/>
      </w:pPr>
      <w:bookmarkStart w:name="h-28940-19" w:id="80"/>
      <w:r>
        <w:rPr/>
        <w:t xml:space="preserve">Subcontractors</w:t>
      </w:r>
      <w:bookmarkEnd w:id="80"/>
    </w:p>
    <w:p>
      <w:pPr>
        <w:pStyle w:val="Body Text"/>
      </w:pPr>
      <w:r>
        <w:rPr/>
        <w:t xml:space="preserve">General: Submit names and contact details of proposed suppliers and applicators.</w:t>
      </w:r>
    </w:p>
    <w:p>
      <w:pPr>
        <w:pStyle w:val="Prompt"/>
      </w:pPr>
      <w:r>
        <w:rPr/>
        <w:t xml:space="preserve">Evidence of experience: </w:t>
      </w:r>
      <w:r>
        <w:fldChar w:fldCharType="begin"/>
        <w:instrText xml:space="preserve"> MACROBUTTON  ac_OnHelp [complete/delete]</w:instrText>
        <w:fldChar w:fldCharType="separate"/>
        <w:t xml:space="preserve"> </w:t>
        <w:fldChar w:fldCharType="end"/>
      </w:r>
    </w:p>
    <w:p>
      <w:pPr>
        <w:pStyle w:val="Instructions"/>
      </w:pPr>
      <w:r>
        <w:rPr/>
        <w:t xml:space="preserve">Delete if supplier/installer details are not required.</w:t>
      </w:r>
    </w:p>
    <w:bookmarkEnd w:id="79"/>
    <w:bookmarkStart w:name="f-28940-13" w:id="81"/>
    <w:p>
      <w:pPr>
        <w:pStyle w:val="Heading4"/>
      </w:pPr>
      <w:bookmarkStart w:name="h-28940-13" w:id="82"/>
      <w:r>
        <w:rPr/>
        <w:t xml:space="preserve">Substrate acceptance</w:t>
      </w:r>
      <w:bookmarkEnd w:id="82"/>
    </w:p>
    <w:p>
      <w:pPr>
        <w:pStyle w:val="Body Text"/>
      </w:pPr>
      <w:r>
        <w:rPr/>
        <w:t xml:space="preserve">Requirement: Submit evidence of applicator's acceptance of the coating substrate before starting installation.</w:t>
      </w:r>
    </w:p>
    <w:bookmarkEnd w:id="81"/>
    <w:bookmarkStart w:name="f-28940-20" w:id="83"/>
    <w:p>
      <w:pPr>
        <w:pStyle w:val="Heading4"/>
      </w:pPr>
      <w:bookmarkStart w:name="h-28940-20" w:id="84"/>
      <w:r>
        <w:rPr/>
        <w:t xml:space="preserve">Tests</w:t>
      </w:r>
      <w:bookmarkEnd w:id="84"/>
    </w:p>
    <w:bookmarkStart w:name="f-22788" w:id="85"/>
    <w:bookmarkStart w:name="f-22788-1" w:id="86"/>
    <w:p>
      <w:pPr>
        <w:pStyle w:val="Instructions"/>
      </w:pPr>
      <w:r>
        <w:rPr/>
        <w:t xml:space="preserve">Detail the tests required in EXECUTION and list the submissions required here.</w:t>
      </w:r>
    </w:p>
    <w:bookmarkEnd w:id="86"/>
    <w:bookmarkEnd w:id="85"/>
    <w:p>
      <w:pPr>
        <w:pStyle w:val="Body Text"/>
      </w:pPr>
      <w:r>
        <w:rPr/>
        <w:t xml:space="preserve">Site tests: Submit results as follows:</w:t>
      </w:r>
    </w:p>
    <w:p>
      <w:pPr>
        <w:pStyle w:val="NormalIndent"/>
      </w:pPr>
      <w:r>
        <w:rPr/>
        <w:t xml:space="preserve">Substrate moisture content test: To </w:t>
      </w:r>
      <w:r>
        <w:rPr>
          <w:b/>
        </w:rPr>
        <w:t xml:space="preserve">TESTING</w:t>
      </w:r>
      <w:r>
        <w:rPr/>
        <w:t xml:space="preserve">, </w:t>
      </w:r>
      <w:r>
        <w:rPr>
          <w:b/>
        </w:rPr>
        <w:t xml:space="preserve">Moisture content tests</w:t>
      </w:r>
      <w:r>
        <w:rPr/>
        <w:t xml:space="preserve">.</w:t>
      </w:r>
    </w:p>
    <w:p>
      <w:pPr>
        <w:pStyle w:val="NormalIndent"/>
      </w:pPr>
      <w:r>
        <w:rPr/>
        <w:t xml:space="preserve">Surface pH test: To </w:t>
      </w:r>
      <w:r>
        <w:rPr>
          <w:b/>
        </w:rPr>
        <w:t xml:space="preserve">TESTING</w:t>
      </w:r>
      <w:r>
        <w:rPr/>
        <w:t xml:space="preserve">, </w:t>
      </w:r>
      <w:r>
        <w:rPr>
          <w:b/>
        </w:rPr>
        <w:t xml:space="preserve">Surface pH tests</w:t>
      </w:r>
      <w:r>
        <w:rPr/>
        <w:t xml:space="preserve">.</w:t>
      </w:r>
    </w:p>
    <w:p>
      <w:pPr>
        <w:pStyle w:val="OptionalNormalIndent"/>
      </w:pPr>
      <w:r>
        <w:rPr/>
        <w:t xml:space="preserve">Bond strength tests: To </w:t>
      </w:r>
      <w:r>
        <w:rPr>
          <w:b/>
        </w:rPr>
        <w:t xml:space="preserve">TESTING</w:t>
      </w:r>
      <w:r>
        <w:rPr/>
        <w:t xml:space="preserve">, </w:t>
      </w:r>
      <w:r>
        <w:rPr>
          <w:b/>
        </w:rPr>
        <w:t xml:space="preserve">Bond strength tests</w:t>
      </w:r>
      <w:r>
        <w:rPr/>
        <w:t xml:space="preserve">.</w:t>
      </w:r>
    </w:p>
    <w:p>
      <w:pPr>
        <w:pStyle w:val="Instructions"/>
      </w:pPr>
      <w:r>
        <w:rPr/>
        <w:t xml:space="preserve">If bond strength tests are required, include this </w:t>
      </w:r>
      <w:r>
        <w:rPr>
          <w:i/>
        </w:rPr>
        <w:t xml:space="preserve">Optional</w:t>
      </w:r>
      <w:r>
        <w:rPr/>
        <w:t xml:space="preserve"> style text by changing to </w:t>
      </w:r>
      <w:r>
        <w:rPr>
          <w:i/>
        </w:rPr>
        <w:t xml:space="preserve">Normal</w:t>
      </w:r>
      <w:r>
        <w:rPr/>
        <w:t xml:space="preserve"> style text. Also include corresponding </w:t>
      </w:r>
      <w:r>
        <w:rPr>
          <w:i/>
        </w:rPr>
        <w:t xml:space="preserve">Optional</w:t>
      </w:r>
      <w:r>
        <w:rPr/>
        <w:t xml:space="preserve"> style text in </w:t>
      </w:r>
      <w:r>
        <w:rPr>
          <w:b/>
        </w:rPr>
        <w:t xml:space="preserve">SUBSTRATE PREPARATION</w:t>
      </w:r>
      <w:r>
        <w:rPr/>
        <w:t xml:space="preserve">, </w:t>
      </w:r>
      <w:r>
        <w:rPr>
          <w:b/>
        </w:rPr>
        <w:t xml:space="preserve">Condition</w:t>
      </w:r>
      <w:r>
        <w:rPr/>
        <w:t xml:space="preserve"> and </w:t>
      </w:r>
      <w:r>
        <w:rPr>
          <w:b/>
        </w:rPr>
        <w:t xml:space="preserve">TESTING</w:t>
      </w:r>
      <w:r>
        <w:rPr/>
        <w:t xml:space="preserve">.</w:t>
      </w:r>
    </w:p>
    <w:p>
      <w:pPr>
        <w:pStyle w:val="NormalIndent"/>
      </w:pPr>
      <w:r>
        <w:rPr/>
        <w:t xml:space="preserve">Slip resistance test of completed application: To </w:t>
      </w:r>
      <w:r>
        <w:rPr>
          <w:b/>
        </w:rPr>
        <w:t xml:space="preserve">TESTING</w:t>
      </w:r>
      <w:r>
        <w:rPr/>
        <w:t xml:space="preserve">, </w:t>
      </w:r>
      <w:r>
        <w:rPr>
          <w:b/>
        </w:rPr>
        <w:t xml:space="preserve">Slip resistance tests</w:t>
      </w:r>
      <w:r>
        <w:rPr/>
        <w:t xml:space="preserve">.</w:t>
      </w:r>
    </w:p>
    <w:bookmarkEnd w:id="83"/>
    <w:bookmarkStart w:name="f-28940-21" w:id="87"/>
    <w:bookmarkStart w:name="f-9452" w:id="88"/>
    <w:bookmarkStart w:name="f-9452-1" w:id="89"/>
    <w:p>
      <w:pPr>
        <w:pStyle w:val="Heading4"/>
      </w:pPr>
      <w:bookmarkStart w:name="h-9452-1" w:id="90"/>
      <w:r>
        <w:rPr/>
        <w:t xml:space="preserve">Warranties</w:t>
      </w:r>
      <w:bookmarkEnd w:id="90"/>
    </w:p>
    <w:p>
      <w:pPr>
        <w:pStyle w:val="Body Text"/>
      </w:pPr>
      <w:r>
        <w:rPr/>
        <w:t xml:space="preserve">Requirement: Submit warranties to </w:t>
      </w:r>
      <w:r>
        <w:rPr>
          <w:b/>
        </w:rPr>
        <w:t xml:space="preserve">COMPLETION</w:t>
      </w:r>
      <w:r>
        <w:rPr/>
        <w:t xml:space="preserve">, </w:t>
      </w:r>
      <w:r>
        <w:rPr>
          <w:b/>
        </w:rPr>
        <w:t xml:space="preserve">Warranties</w:t>
      </w:r>
      <w:r>
        <w:rPr/>
        <w:t xml:space="preserve">.</w:t>
      </w:r>
    </w:p>
    <w:bookmarkEnd w:id="89"/>
    <w:bookmarkEnd w:id="88"/>
    <w:bookmarkEnd w:id="87"/>
    <w:bookmarkStart w:name="f-28940-22" w:id="91"/>
    <w:p>
      <w:pPr>
        <w:pStyle w:val="Heading3"/>
      </w:pPr>
      <w:bookmarkStart w:name="h-28940-22" w:id="92"/>
      <w:r>
        <w:rPr/>
        <w:t xml:space="preserve">INSPECTION</w:t>
      </w:r>
      <w:bookmarkEnd w:id="92"/>
    </w:p>
    <w:bookmarkEnd w:id="91"/>
    <w:bookmarkStart w:name="f-28940-23" w:id="93"/>
    <w:p>
      <w:pPr>
        <w:pStyle w:val="Heading4"/>
      </w:pPr>
      <w:bookmarkStart w:name="h-28940-23" w:id="94"/>
      <w:r>
        <w:rPr/>
        <w:t xml:space="preserve">Notice</w:t>
      </w:r>
      <w:bookmarkEnd w:id="94"/>
    </w:p>
    <w:p>
      <w:pPr>
        <w:pStyle w:val="Body Text"/>
      </w:pPr>
      <w:r>
        <w:rPr/>
        <w:t xml:space="preserve">Inspection: Give notice so that inspection may be made of the following:</w:t>
      </w:r>
    </w:p>
    <w:p>
      <w:pPr>
        <w:pStyle w:val="NormalIndent"/>
      </w:pPr>
      <w:r>
        <w:rPr/>
        <w:t xml:space="preserve">Completion of substrate preparation.</w:t>
      </w:r>
    </w:p>
    <w:p>
      <w:pPr>
        <w:pStyle w:val="Instructions"/>
      </w:pPr>
      <w:r>
        <w:rPr/>
        <w:t xml:space="preserve">To verify substrate levels, falls and surface regularity.</w:t>
      </w:r>
    </w:p>
    <w:p>
      <w:pPr>
        <w:pStyle w:val="NormalIndent"/>
      </w:pPr>
      <w:r>
        <w:rPr/>
        <w:t xml:space="preserve">Substrate joints, thresholds and perimeter walls.</w:t>
      </w:r>
    </w:p>
    <w:p>
      <w:pPr>
        <w:pStyle w:val="Instructions"/>
      </w:pPr>
      <w:r>
        <w:rPr/>
        <w:t xml:space="preserve">If required, include other leading and finishing edges.</w:t>
      </w:r>
    </w:p>
    <w:p>
      <w:pPr>
        <w:pStyle w:val="NormalIndent"/>
      </w:pPr>
      <w:r>
        <w:rPr/>
        <w:t xml:space="preserve">Completed priming of base.</w:t>
      </w:r>
    </w:p>
    <w:p>
      <w:pPr>
        <w:pStyle w:val="NormalIndent"/>
      </w:pPr>
      <w:r>
        <w:rPr/>
        <w:t xml:space="preserve">Completion of each coat in the flooring system.</w:t>
      </w:r>
    </w:p>
    <w:p>
      <w:pPr>
        <w:pStyle w:val="NormalIndent"/>
      </w:pPr>
      <w:r>
        <w:rPr/>
        <w:t xml:space="preserve">Completed application.</w:t>
      </w:r>
    </w:p>
    <w:bookmarkStart w:name="f-28195" w:id="95"/>
    <w:bookmarkStart w:name="f-28195-1" w:id="96"/>
    <w:p>
      <w:pPr>
        <w:pStyle w:val="Instructions"/>
      </w:pPr>
      <w:r>
        <w:rPr/>
        <w:t xml:space="preserve">Edit to suit the project, adding critical stage inspections required.</w:t>
      </w:r>
    </w:p>
    <w:p>
      <w:pPr>
        <w:pStyle w:val="Instructions"/>
      </w:pPr>
      <w:r>
        <w:rPr>
          <w:b/>
        </w:rPr>
        <w:t xml:space="preserve">Hold points</w:t>
      </w:r>
      <w:r>
        <w:rPr/>
        <w:t xml:space="preserve">, if required, should be inserted here.</w:t>
      </w:r>
    </w:p>
    <w:bookmarkEnd w:id="96"/>
    <w:bookmarkEnd w:id="95"/>
    <w:bookmarkEnd w:id="93"/>
    <w:bookmarkEnd w:id="25"/>
    <w:bookmarkStart w:name="f-28939" w:id="97"/>
    <w:bookmarkStart w:name="f-28939-1" w:id="98"/>
    <w:p>
      <w:pPr>
        <w:pStyle w:val="Heading2"/>
      </w:pPr>
      <w:bookmarkStart w:name="h-28939-1" w:id="99"/>
      <w:r>
        <w:rPr/>
        <w:t xml:space="preserve">PRODUCTS</w:t>
      </w:r>
      <w:bookmarkEnd w:id="99"/>
    </w:p>
    <w:bookmarkEnd w:id="98"/>
    <w:bookmarkStart w:name="f-28939-2" w:id="100"/>
    <w:p>
      <w:pPr>
        <w:pStyle w:val="Heading3"/>
      </w:pPr>
      <w:bookmarkStart w:name="h-28939-2" w:id="101"/>
      <w:r>
        <w:rPr/>
        <w:t xml:space="preserve">GENERAL</w:t>
      </w:r>
      <w:bookmarkEnd w:id="101"/>
    </w:p>
    <w:bookmarkEnd w:id="100"/>
    <w:bookmarkStart w:name="f-28939-28939.1" w:id="102"/>
    <w:bookmarkStart w:name="f-8385" w:id="103"/>
    <w:bookmarkStart w:name="f-8385-2" w:id="104"/>
    <w:p>
      <w:pPr>
        <w:pStyle w:val="Heading4"/>
      </w:pPr>
      <w:bookmarkStart w:name="h-8385-2" w:id="105"/>
      <w:r>
        <w:rPr/>
        <w:t xml:space="preserve">Product substitution</w:t>
      </w:r>
      <w:bookmarkEnd w:id="105"/>
    </w:p>
    <w:p>
      <w:pPr>
        <w:pStyle w:val="Body Text"/>
      </w:pPr>
      <w:r>
        <w:rPr/>
        <w:t xml:space="preserve">Other products: Conform to </w:t>
      </w:r>
      <w:r>
        <w:rPr>
          <w:b/>
        </w:rPr>
        <w:t xml:space="preserve">SUBSTITUTIONS</w:t>
      </w:r>
      <w:r>
        <w:rPr/>
        <w:t xml:space="preserve"> in </w:t>
      </w:r>
      <w:r>
        <w:rPr>
          <w:i/>
        </w:rPr>
        <w:t xml:space="preserve">0171 General requirements</w:t>
      </w:r>
      <w:r>
        <w:rPr/>
        <w:t xml:space="preserve">.</w:t>
      </w:r>
    </w:p>
    <w:bookmarkEnd w:id="104"/>
    <w:bookmarkStart w:name="f-8385-3" w:id="106"/>
    <w:p>
      <w:pPr>
        <w:pStyle w:val="Instructions"/>
      </w:pPr>
      <w:r>
        <w:rPr>
          <w:b/>
        </w:rPr>
        <w:t xml:space="preserve">SUBSTITUTIONS</w:t>
      </w:r>
      <w:r>
        <w:rPr/>
        <w:t xml:space="preserve"> in </w:t>
      </w:r>
      <w:r>
        <w:rPr>
          <w:i/>
        </w:rPr>
        <w:t xml:space="preserve">0171 General requirements</w:t>
      </w:r>
      <w:r>
        <w:rPr/>
        <w:t xml:space="preserve"> sets out the submissions required if the contractor proposes alternative products. Refer also to NATSPEC TECHnote GEN 006 for more information on proprietary specification.</w:t>
      </w:r>
    </w:p>
    <w:bookmarkEnd w:id="106"/>
    <w:bookmarkEnd w:id="103"/>
    <w:bookmarkEnd w:id="102"/>
    <w:bookmarkStart w:name="f-28939-28939.2" w:id="107"/>
    <w:bookmarkStart w:name="f-13182" w:id="108"/>
    <w:bookmarkStart w:name="f-13182-1" w:id="109"/>
    <w:p>
      <w:pPr>
        <w:pStyle w:val="Heading4"/>
      </w:pPr>
      <w:bookmarkStart w:name="h-13182-1" w:id="110"/>
      <w:r>
        <w:rPr/>
        <w:t xml:space="preserve">Product identification</w:t>
      </w:r>
      <w:bookmarkEnd w:id="110"/>
    </w:p>
    <w:p>
      <w:pPr>
        <w:pStyle w:val="Body Text"/>
      </w:pPr>
      <w:r>
        <w:rPr/>
        <w:t xml:space="preserve">General: Marked to show the following:</w:t>
      </w:r>
    </w:p>
    <w:p>
      <w:pPr>
        <w:pStyle w:val="NormalIndent"/>
      </w:pPr>
      <w:r>
        <w:rPr/>
        <w:t xml:space="preserve">Manufacturer's identification.</w:t>
      </w:r>
    </w:p>
    <w:p>
      <w:pPr>
        <w:pStyle w:val="NormalIndent"/>
      </w:pPr>
      <w:r>
        <w:rPr/>
        <w:t xml:space="preserve">Product brand name.</w:t>
      </w:r>
    </w:p>
    <w:p>
      <w:pPr>
        <w:pStyle w:val="NormalIndent"/>
      </w:pPr>
      <w:r>
        <w:rPr/>
        <w:t xml:space="preserve">Product type.</w:t>
      </w:r>
    </w:p>
    <w:p>
      <w:pPr>
        <w:pStyle w:val="NormalIndent"/>
      </w:pPr>
      <w:r>
        <w:rPr/>
        <w:t xml:space="preserve">Quantity.</w:t>
      </w:r>
    </w:p>
    <w:p>
      <w:pPr>
        <w:pStyle w:val="NormalIndent"/>
      </w:pPr>
      <w:r>
        <w:rPr/>
        <w:t xml:space="preserve">Product reference code and batch number.</w:t>
      </w:r>
    </w:p>
    <w:p>
      <w:pPr>
        <w:pStyle w:val="NormalIndent"/>
      </w:pPr>
      <w:r>
        <w:rPr/>
        <w:t xml:space="preserve">Date of manufacture.</w:t>
      </w:r>
    </w:p>
    <w:p>
      <w:pPr>
        <w:pStyle w:val="Instructions"/>
      </w:pPr>
      <w:r>
        <w:rPr/>
        <w:t xml:space="preserve">Edit the list to suit the project or delete if not required.</w:t>
      </w:r>
    </w:p>
    <w:bookmarkEnd w:id="109"/>
    <w:bookmarkEnd w:id="108"/>
    <w:bookmarkEnd w:id="107"/>
    <w:bookmarkStart w:name="f-28939-12" w:id="111"/>
    <w:p>
      <w:pPr>
        <w:pStyle w:val="Heading4"/>
      </w:pPr>
      <w:bookmarkStart w:name="h-28939-12" w:id="112"/>
      <w:r>
        <w:rPr/>
        <w:t xml:space="preserve">Samples</w:t>
      </w:r>
      <w:bookmarkEnd w:id="112"/>
    </w:p>
    <w:p>
      <w:pPr>
        <w:pStyle w:val="Body Text"/>
      </w:pPr>
      <w:r>
        <w:rPr/>
        <w:t xml:space="preserve">Requirement: For each required resin based flooring finish, provide a sample of the coating on a suitable base, showing the thickness of each coat.</w:t>
      </w:r>
    </w:p>
    <w:p>
      <w:pPr>
        <w:pStyle w:val="Body Text"/>
      </w:pPr>
      <w:r>
        <w:rPr/>
        <w:t xml:space="preserve">Labelling: Label each sample identifying the following:</w:t>
      </w:r>
    </w:p>
    <w:p>
      <w:pPr>
        <w:pStyle w:val="NormalIndent"/>
      </w:pPr>
      <w:r>
        <w:rPr/>
        <w:t xml:space="preserve">Brand.</w:t>
      </w:r>
    </w:p>
    <w:p>
      <w:pPr>
        <w:pStyle w:val="NormalIndent"/>
      </w:pPr>
      <w:r>
        <w:rPr/>
        <w:t xml:space="preserve">Product name.</w:t>
      </w:r>
    </w:p>
    <w:p>
      <w:pPr>
        <w:pStyle w:val="NormalIndent"/>
      </w:pPr>
      <w:r>
        <w:rPr/>
        <w:t xml:space="preserve">Manufacturer's reference code (including the code for each layer of a multilayer system).</w:t>
      </w:r>
    </w:p>
    <w:p>
      <w:pPr>
        <w:pStyle w:val="Body Text"/>
      </w:pPr>
      <w:r>
        <w:rPr/>
        <w:t xml:space="preserve">Size: 300 x 300 mm minimum.</w:t>
      </w:r>
    </w:p>
    <w:p>
      <w:pPr>
        <w:pStyle w:val="Prompt"/>
      </w:pPr>
      <w:r>
        <w:rPr/>
        <w:t xml:space="preserve">Sample panels: If required, construct a panel to verify the floor finish, its aesthetic and material properties, as documented and as follows:</w:t>
      </w:r>
    </w:p>
    <w:p>
      <w:pPr>
        <w:pStyle w:val="Promptindent"/>
      </w:pPr>
      <w:r>
        <w:rPr/>
        <w:t xml:space="preserve">Location: </w:t>
      </w:r>
      <w:r>
        <w:fldChar w:fldCharType="begin"/>
        <w:instrText xml:space="preserve"> MACROBUTTON  ac_OnHelp [complete/delete]</w:instrText>
        <w:fldChar w:fldCharType="separate"/>
        <w:t xml:space="preserve"> </w:t>
        <w:fldChar w:fldCharType="end"/>
      </w:r>
    </w:p>
    <w:p>
      <w:pPr>
        <w:pStyle w:val="Promptindent"/>
      </w:pPr>
      <w:r>
        <w:rPr/>
        <w:t xml:space="preserve">Size (mm): </w:t>
      </w:r>
      <w:r>
        <w:fldChar w:fldCharType="begin"/>
        <w:instrText xml:space="preserve"> MACROBUTTON  ac_OnHelp [complete/delete]</w:instrText>
        <w:fldChar w:fldCharType="separate"/>
        <w:t xml:space="preserve"> </w:t>
        <w:fldChar w:fldCharType="end"/>
      </w:r>
    </w:p>
    <w:p>
      <w:pPr>
        <w:pStyle w:val="Instructions"/>
      </w:pPr>
      <w:r>
        <w:rPr/>
        <w:t xml:space="preserve">Call for sample panels only when large areas are documented.</w:t>
      </w:r>
    </w:p>
    <w:bookmarkEnd w:id="111"/>
    <w:bookmarkStart w:name="f-28939-3" w:id="113"/>
    <w:p>
      <w:pPr>
        <w:pStyle w:val="Heading4"/>
      </w:pPr>
      <w:bookmarkStart w:name="h-28939-3" w:id="114"/>
      <w:r>
        <w:rPr/>
        <w:t xml:space="preserve">Storage and handling</w:t>
      </w:r>
      <w:bookmarkEnd w:id="114"/>
    </w:p>
    <w:p>
      <w:pPr>
        <w:pStyle w:val="Body Text"/>
      </w:pPr>
      <w:r>
        <w:rPr/>
        <w:t xml:space="preserve">Delivery: Check all deliveries to site for quantities, damage and material conformance.</w:t>
      </w:r>
    </w:p>
    <w:p>
      <w:pPr>
        <w:pStyle w:val="Body Text"/>
      </w:pPr>
      <w:r>
        <w:rPr/>
        <w:t xml:space="preserve">Storage: Store materials to the manufacturer's recommendations, with seals and labels intact and legible. Maintain temperatures at 10°C to 30°C or within the recommended range. Do not use materials that have been stored longer than the manufacturer's maximum recommended shelf life.</w:t>
      </w:r>
    </w:p>
    <w:bookmarkEnd w:id="113"/>
    <w:bookmarkStart w:name="f-28939-13" w:id="115"/>
    <w:p>
      <w:pPr>
        <w:pStyle w:val="OptionalHeading4"/>
      </w:pPr>
      <w:bookmarkStart w:name="h-28939-13" w:id="116"/>
      <w:r>
        <w:rPr/>
        <w:t xml:space="preserve">Tests</w:t>
      </w:r>
      <w:bookmarkEnd w:id="116"/>
    </w:p>
    <w:bookmarkStart w:name="f-22751" w:id="117"/>
    <w:bookmarkStart w:name="f-22751-1" w:id="118"/>
    <w:p>
      <w:pPr>
        <w:pStyle w:val="Instructions"/>
      </w:pPr>
      <w:r>
        <w:rPr>
          <w:i/>
        </w:rPr>
        <w:t xml:space="preserve">0171 General requirements</w:t>
      </w:r>
      <w:r>
        <w:rPr/>
        <w:t xml:space="preserve"> defines different tests in </w:t>
      </w:r>
      <w:r>
        <w:rPr>
          <w:b/>
        </w:rPr>
        <w:t xml:space="preserve">INTERPRETATION</w:t>
      </w:r>
      <w:r>
        <w:rPr/>
        <w:t xml:space="preserve">, </w:t>
      </w:r>
      <w:r>
        <w:rPr>
          <w:b/>
        </w:rPr>
        <w:t xml:space="preserve">Definitions</w:t>
      </w:r>
      <w:r>
        <w:rPr/>
        <w:t xml:space="preserve">.</w:t>
      </w:r>
    </w:p>
    <w:bookmarkEnd w:id="118"/>
    <w:bookmarkEnd w:id="117"/>
    <w:p>
      <w:pPr>
        <w:pStyle w:val="OptionalNormal"/>
      </w:pPr>
      <w:r>
        <w:rPr/>
        <w:t xml:space="preserve">Slip resistance: To AS 4586 (2013).</w:t>
      </w:r>
    </w:p>
    <w:p>
      <w:pPr>
        <w:pStyle w:val="Instructions"/>
      </w:pPr>
      <w:r>
        <w:rPr/>
        <w:t xml:space="preserve">See NATSPEC TECHnote DES 001 on slip resistance performance.</w:t>
      </w:r>
    </w:p>
    <w:p>
      <w:pPr>
        <w:pStyle w:val="Instructions"/>
      </w:pPr>
      <w:r>
        <w:rPr/>
        <w:t xml:space="preserve">Resin based seamless flooring products are a site applied finish and slip resistance testing to EXECUTION, </w:t>
      </w:r>
      <w:r>
        <w:rPr>
          <w:b/>
        </w:rPr>
        <w:t xml:space="preserve">TESTING</w:t>
      </w:r>
      <w:r>
        <w:rPr/>
        <w:t xml:space="preserve"> would typically be required. If slip resistance classification to AS 4586 (2013) is also a requirement, include this </w:t>
      </w:r>
      <w:r>
        <w:rPr>
          <w:i/>
        </w:rPr>
        <w:t xml:space="preserve">Optional</w:t>
      </w:r>
      <w:r>
        <w:rPr/>
        <w:t xml:space="preserve"> style text by changing to </w:t>
      </w:r>
      <w:r>
        <w:rPr>
          <w:i/>
        </w:rPr>
        <w:t xml:space="preserve">Normal</w:t>
      </w:r>
      <w:r>
        <w:rPr/>
        <w:t xml:space="preserve"> style text.</w:t>
      </w:r>
    </w:p>
    <w:bookmarkEnd w:id="115"/>
    <w:bookmarkStart w:name="f-28939-7" w:id="119"/>
    <w:p>
      <w:pPr>
        <w:pStyle w:val="Heading4"/>
      </w:pPr>
      <w:bookmarkStart w:name="h-28939-7" w:id="120"/>
      <w:r>
        <w:rPr/>
        <w:t xml:space="preserve">Materials</w:t>
      </w:r>
      <w:bookmarkEnd w:id="120"/>
    </w:p>
    <w:p>
      <w:pPr>
        <w:pStyle w:val="Body Text"/>
      </w:pPr>
      <w:r>
        <w:rPr/>
        <w:t xml:space="preserve">Product supply: Supply all resin flooring mix components in pre‑measured units in the correct proportion ready for mixing.</w:t>
      </w:r>
    </w:p>
    <w:p>
      <w:pPr>
        <w:pStyle w:val="Body Text"/>
      </w:pPr>
      <w:r>
        <w:rPr/>
        <w:t xml:space="preserve">Resin flooring system: Floor coating systems consisting of primer, waterproofing membrane, reinforcing membrane, as appropriate and as recommended by the manufacturer.</w:t>
      </w:r>
    </w:p>
    <w:p>
      <w:pPr>
        <w:pStyle w:val="Body Text"/>
      </w:pPr>
      <w:r>
        <w:rPr/>
        <w:t xml:space="preserve">Reinforcement: Flexible fibreglass fabric that inhibits substrate cracks transferring to the resinous flooring finish.</w:t>
      </w:r>
    </w:p>
    <w:bookmarkEnd w:id="119"/>
    <w:bookmarkStart w:name="f-28939-9" w:id="121"/>
    <w:p>
      <w:pPr>
        <w:pStyle w:val="Heading4"/>
      </w:pPr>
      <w:bookmarkStart w:name="h-28939-9" w:id="122"/>
      <w:r>
        <w:rPr/>
        <w:t xml:space="preserve">Surface regularity for wearing surface table</w:t>
      </w:r>
      <w:bookmarkEnd w:id="122"/>
    </w:p>
    <w:tbl>
      <w:tblPr>
        <w:tblStyle w:val="NATSPECTable"/>
        <w:tblW w:w="5000" w:type="pct"/>
        <w:tblLook w:firstRow="1" w:lastRow="0" w:firstColumn="0" w:lastColumn="0"/>
      </w:tblPr>
      <w:tr>
        <w:trPr>
          <w:tblHeader/>
        </w:trPr>
        <w:tc>
          <w:tcPr>
            <w:tcW w:w="34%" w:type="pct"/>
          </w:tcPr>
          <w:p>
            <w:pPr>
              <w:pStyle w:val="Tabletitle"/>
            </w:pPr>
            <w:r>
              <w:rPr/>
              <w:t xml:space="preserve">Class</w:t>
            </w:r>
          </w:p>
        </w:tc>
        <w:tc>
          <w:tcPr>
            <w:tcW w:w="33%" w:type="pct"/>
          </w:tcPr>
          <w:p>
            <w:pPr>
              <w:pStyle w:val="Tabletitle"/>
            </w:pPr>
            <w:r>
              <w:rPr/>
              <w:t xml:space="preserve">Maximum permissible departure from a 2 m straightedge laid in contact with the floor (mm)</w:t>
            </w:r>
          </w:p>
        </w:tc>
        <w:tc>
          <w:tcPr>
            <w:tcW w:w="33%" w:type="pct"/>
          </w:tcPr>
          <w:p>
            <w:pPr>
              <w:pStyle w:val="Tabletitle"/>
            </w:pPr>
            <w:r>
              <w:rPr/>
              <w:t xml:space="preserve">Application</w:t>
            </w:r>
          </w:p>
        </w:tc>
      </w:tr>
      <w:tr>
        <w:trPr/>
        <w:tc>
          <w:tcPr>
            <w:tcW w:w="34%" w:type="pct"/>
          </w:tcPr>
          <w:p>
            <w:pPr>
              <w:pStyle w:val="Tabletext"/>
            </w:pPr>
            <w:r>
              <w:rPr/>
              <w:t xml:space="preserve">SR1</w:t>
            </w:r>
          </w:p>
        </w:tc>
        <w:tc>
          <w:tcPr>
            <w:tcW w:w="33%" w:type="pct"/>
          </w:tcPr>
          <w:p>
            <w:pPr>
              <w:pStyle w:val="Tabletext"/>
            </w:pPr>
            <w:r>
              <w:rPr/>
              <w:t xml:space="preserve">3</w:t>
            </w:r>
          </w:p>
        </w:tc>
        <w:tc>
          <w:tcPr>
            <w:tcW w:w="33%" w:type="pct"/>
          </w:tcPr>
          <w:p>
            <w:pPr>
              <w:pStyle w:val="Tabletext"/>
            </w:pPr>
            <w:r>
              <w:rPr/>
              <w:t xml:space="preserve">High standard: Special floors</w:t>
            </w:r>
          </w:p>
        </w:tc>
      </w:tr>
      <w:tr>
        <w:trPr/>
        <w:tc>
          <w:tcPr>
            <w:tcW w:w="34%" w:type="pct"/>
          </w:tcPr>
          <w:p>
            <w:pPr>
              <w:pStyle w:val="Tabletext"/>
            </w:pPr>
            <w:r>
              <w:rPr/>
              <w:t xml:space="preserve">SR2</w:t>
            </w:r>
          </w:p>
        </w:tc>
        <w:tc>
          <w:tcPr>
            <w:tcW w:w="33%" w:type="pct"/>
          </w:tcPr>
          <w:p>
            <w:pPr>
              <w:pStyle w:val="Tabletext"/>
            </w:pPr>
            <w:r>
              <w:rPr/>
              <w:t xml:space="preserve">5</w:t>
            </w:r>
          </w:p>
        </w:tc>
        <w:tc>
          <w:tcPr>
            <w:tcW w:w="33%" w:type="pct"/>
          </w:tcPr>
          <w:p>
            <w:pPr>
              <w:pStyle w:val="Tabletext"/>
            </w:pPr>
            <w:r>
              <w:rPr/>
              <w:t xml:space="preserve">Normal standard: Normal use in commercial and industrial buildings</w:t>
            </w:r>
          </w:p>
        </w:tc>
      </w:tr>
      <w:tr>
        <w:trPr/>
        <w:tc>
          <w:tcPr>
            <w:tcW w:w="34%" w:type="pct"/>
          </w:tcPr>
          <w:p>
            <w:pPr>
              <w:pStyle w:val="Tabletext"/>
            </w:pPr>
            <w:r>
              <w:rPr/>
              <w:t xml:space="preserve">SR3</w:t>
            </w:r>
          </w:p>
        </w:tc>
        <w:tc>
          <w:tcPr>
            <w:tcW w:w="33%" w:type="pct"/>
          </w:tcPr>
          <w:p>
            <w:pPr>
              <w:pStyle w:val="Tabletext"/>
            </w:pPr>
            <w:r>
              <w:rPr/>
              <w:t xml:space="preserve">10</w:t>
            </w:r>
          </w:p>
        </w:tc>
        <w:tc>
          <w:tcPr>
            <w:tcW w:w="33%" w:type="pct"/>
          </w:tcPr>
          <w:p>
            <w:pPr>
              <w:pStyle w:val="Tabletext"/>
            </w:pPr>
            <w:r>
              <w:rPr/>
              <w:t xml:space="preserve">Utility standard: Where surface regularity is less critical</w:t>
            </w:r>
          </w:p>
        </w:tc>
      </w:tr>
    </w:tbl>
    <w:p>
      <w:r>
        <w:t xml:space="preserve"> </w:t>
      </w:r>
    </w:p>
    <w:p>
      <w:pPr>
        <w:pStyle w:val="Instructions"/>
      </w:pPr>
      <w:r>
        <w:rPr/>
        <w:t xml:space="preserve">This table is aligned with BS 8204‑6 (2008) and </w:t>
      </w:r>
      <w:r>
        <w:rPr>
          <w:i/>
        </w:rPr>
        <w:t xml:space="preserve">FeRFA guide to the specification and application of synthetic resin flooring (2024)</w:t>
      </w:r>
      <w:r>
        <w:rPr/>
        <w:t xml:space="preserve">, published by FeRFA, the Resin Flooring Association.</w:t>
      </w:r>
    </w:p>
    <w:bookmarkEnd w:id="121"/>
    <w:bookmarkStart w:name="f-28939-4" w:id="123"/>
    <w:p>
      <w:pPr>
        <w:pStyle w:val="Heading3"/>
      </w:pPr>
      <w:bookmarkStart w:name="h-28939-4" w:id="124"/>
      <w:r>
        <w:rPr/>
        <w:t xml:space="preserve">FIRE PERFORMANCE</w:t>
      </w:r>
      <w:bookmarkEnd w:id="124"/>
    </w:p>
    <w:bookmarkEnd w:id="123"/>
    <w:bookmarkStart w:name="f-28939-5" w:id="125"/>
    <w:p>
      <w:pPr>
        <w:pStyle w:val="Heading4"/>
      </w:pPr>
      <w:bookmarkStart w:name="h-28939-5" w:id="126"/>
      <w:r>
        <w:rPr/>
        <w:t xml:space="preserve">Fire hazard properties</w:t>
      </w:r>
      <w:bookmarkEnd w:id="126"/>
    </w:p>
    <w:p>
      <w:pPr>
        <w:pStyle w:val="Body Text"/>
      </w:pPr>
      <w:r>
        <w:rPr/>
        <w:t xml:space="preserve">Critical radiant flux: Tested to AS ISO 9239.1 (2003).</w:t>
      </w:r>
    </w:p>
    <w:p>
      <w:pPr>
        <w:pStyle w:val="Instructions"/>
      </w:pPr>
      <w:r>
        <w:rPr/>
        <w:t xml:space="preserve">Non‑sprinklered buildings: Maximum </w:t>
      </w:r>
      <w:r>
        <w:rPr>
          <w:i/>
        </w:rPr>
        <w:t xml:space="preserve">smoke development rate</w:t>
      </w:r>
      <w:r>
        <w:rPr/>
        <w:t xml:space="preserve"> of 750 percent‑minutes tested to AS ISO 9239.1 (2003) for the flooring finish.</w:t>
      </w:r>
    </w:p>
    <w:p>
      <w:pPr>
        <w:pStyle w:val="Instructions"/>
      </w:pPr>
      <w:r>
        <w:rPr/>
        <w:t xml:space="preserve">Refer to NATSPEC TECHnote DES 020 for further information on fire hazard properties.</w:t>
      </w:r>
    </w:p>
    <w:bookmarkEnd w:id="125"/>
    <w:bookmarkStart w:name="f-28939-28939.3" w:id="127"/>
    <w:p>
      <w:pPr>
        <w:pStyle w:val="Heading3"/>
      </w:pPr>
      <w:bookmarkStart w:name="h-28939-28939.3" w:id="128"/>
      <w:r>
        <w:rPr/>
        <w:t xml:space="preserve">APC RESIN BASED SYSTEMS</w:t>
      </w:r>
      <w:bookmarkEnd w:id="128"/>
    </w:p>
    <w:bookmarkEnd w:id="127"/>
    <w:bookmarkStart w:name="f-28939-28939.4" w:id="129"/>
    <w:p>
      <w:pPr>
        <w:pStyle w:val="Heading4"/>
      </w:pPr>
      <w:bookmarkStart w:name="h-28939-28939.4" w:id="130"/>
      <w:r>
        <w:rPr/>
        <w:t xml:space="preserve">APC Plain Coat</w:t>
      </w:r>
      <w:bookmarkEnd w:id="130"/>
    </w:p>
    <w:p>
      <w:pPr>
        <w:pStyle w:val="Body Text"/>
      </w:pPr>
      <w:r>
        <w:rPr/>
        <w:t xml:space="preserve">Description: High performance EPO100T epoxy coating system for solid colour epoxy flooring.</w:t>
      </w:r>
    </w:p>
    <w:p>
      <w:pPr>
        <w:pStyle w:val="Instructions"/>
      </w:pPr>
      <w:r>
        <w:rPr/>
        <w:t xml:space="preserve">Application: Interior floor and wall settings including warehouses, cleaning stations, medical storage, supply rooms, maintenance rooms, garages, internal residential areas.</w:t>
      </w:r>
    </w:p>
    <w:bookmarkEnd w:id="129"/>
    <w:bookmarkStart w:name="f-28939-28939.5" w:id="131"/>
    <w:p>
      <w:pPr>
        <w:pStyle w:val="Heading4"/>
      </w:pPr>
      <w:bookmarkStart w:name="h-28939-28939.5" w:id="132"/>
      <w:r>
        <w:rPr/>
        <w:t xml:space="preserve">APC Cut and Coat</w:t>
      </w:r>
      <w:bookmarkEnd w:id="132"/>
    </w:p>
    <w:p>
      <w:pPr>
        <w:pStyle w:val="Body Text"/>
      </w:pPr>
      <w:r>
        <w:rPr/>
        <w:t xml:space="preserve">Description: High performance topical polyurethane coating system for polished concrete look.</w:t>
      </w:r>
    </w:p>
    <w:p>
      <w:pPr>
        <w:pStyle w:val="Instructions"/>
      </w:pPr>
      <w:r>
        <w:rPr/>
        <w:t xml:space="preserve">Application: Interior settings including residential, offices, showrooms, bars and clubs, restaurants, cafes and takeaways, amenities.</w:t>
      </w:r>
    </w:p>
    <w:bookmarkEnd w:id="131"/>
    <w:bookmarkStart w:name="f-28939-28939.6" w:id="133"/>
    <w:p>
      <w:pPr>
        <w:pStyle w:val="Heading4"/>
      </w:pPr>
      <w:bookmarkStart w:name="h-28939-28939.6" w:id="134"/>
      <w:r>
        <w:rPr/>
        <w:t xml:space="preserve">APC Ultra Flake</w:t>
      </w:r>
      <w:bookmarkEnd w:id="134"/>
    </w:p>
    <w:p>
      <w:pPr>
        <w:pStyle w:val="Body Text"/>
      </w:pPr>
      <w:r>
        <w:rPr/>
        <w:t xml:space="preserve">Description: High performance multicoat system with epoxy, polyurethane or polyaspartic layers with multicolour flake look.</w:t>
      </w:r>
    </w:p>
    <w:p>
      <w:pPr>
        <w:pStyle w:val="Instructions"/>
      </w:pPr>
      <w:r>
        <w:rPr/>
        <w:t xml:space="preserve">Application: Interior and exterior settings including kitchens, living rooms, amenities, patios, garages, driveways, offices and showrooms.</w:t>
      </w:r>
    </w:p>
    <w:p>
      <w:pPr>
        <w:pStyle w:val="Instructions"/>
      </w:pPr>
      <w:r>
        <w:rPr/>
        <w:t xml:space="preserve">Available in finishes: Essential finish, Crystal finish, Diamond finish, Grip finish, Rapid finish and Showroom finish. The finishes vary from high gloss and smooth for interiors to semi‑textured and slip resistant for interior and exterior settings. The different finishes require a different number of coats. The colours and sizes of the flakes and glitters can be combined to add accented shapes in the floor and are dirt concealing. The system is seamless, hard wearing, mould resistant, hygienic and UV‑resistant.</w:t>
      </w:r>
    </w:p>
    <w:bookmarkEnd w:id="133"/>
    <w:bookmarkStart w:name="f-28939-28939.7" w:id="135"/>
    <w:p>
      <w:pPr>
        <w:pStyle w:val="Heading4"/>
      </w:pPr>
      <w:bookmarkStart w:name="h-28939-28939.7" w:id="136"/>
      <w:r>
        <w:rPr/>
        <w:t xml:space="preserve">APC Hyper Flake</w:t>
      </w:r>
      <w:bookmarkEnd w:id="136"/>
    </w:p>
    <w:p>
      <w:pPr>
        <w:pStyle w:val="Body Text"/>
      </w:pPr>
      <w:r>
        <w:rPr/>
        <w:t xml:space="preserve">Description: High performance multicoat system with epoxy, polyurethane or polyaspartic layers, with natural stone or polished concrete look.</w:t>
      </w:r>
    </w:p>
    <w:p>
      <w:pPr>
        <w:pStyle w:val="Instructions"/>
      </w:pPr>
      <w:r>
        <w:rPr/>
        <w:t xml:space="preserve">Application: Interior and exterior settings including kitchens, living rooms, amenities, patios, driveways, showrooms and foyers.</w:t>
      </w:r>
    </w:p>
    <w:p>
      <w:pPr>
        <w:pStyle w:val="Instructions"/>
      </w:pPr>
      <w:r>
        <w:rPr/>
        <w:t xml:space="preserve">Available in finishes: Essential finish, Crystal finish, Diamond finish, Grip finish and Showroom finish. The finishes vary from high gloss and smooth for interiors to satin, semi‑textured and slip resistant for interior and exterior settings. The different finishes require a different number of coats. The colours and sizes of the flakes and glitters can be combined to add accented shapes in the floor and are dirt concealing. The system is seamless, hard wearing, mould resistant, hygienic and UV‑resistant.</w:t>
      </w:r>
    </w:p>
    <w:bookmarkEnd w:id="135"/>
    <w:bookmarkStart w:name="f-28939-28939.8" w:id="137"/>
    <w:p>
      <w:pPr>
        <w:pStyle w:val="Heading4"/>
      </w:pPr>
      <w:bookmarkStart w:name="h-28939-28939.8" w:id="138"/>
      <w:r>
        <w:rPr/>
        <w:t xml:space="preserve">APC Quartz Shield</w:t>
      </w:r>
      <w:bookmarkEnd w:id="138"/>
    </w:p>
    <w:p>
      <w:pPr>
        <w:pStyle w:val="Body Text"/>
      </w:pPr>
      <w:r>
        <w:rPr/>
        <w:t xml:space="preserve">Description: High performance 5 coat system with epoxy and polyaspartic layers using a 200Q Quartz Shield broadcast.</w:t>
      </w:r>
    </w:p>
    <w:p>
      <w:pPr>
        <w:pStyle w:val="Instructions"/>
      </w:pPr>
      <w:r>
        <w:rPr/>
        <w:t xml:space="preserve">Application: Residential exterior settings including driveways, patios, pools surrounds, outdoor areas, external paths and sheds. Industrial or commercial interior and exterior settings including cold rooms, abattoirs, food processing plants, commercial kitchens, wet areas, wash down bays.</w:t>
      </w:r>
    </w:p>
    <w:p>
      <w:pPr>
        <w:pStyle w:val="Instructions"/>
      </w:pPr>
      <w:r>
        <w:rPr/>
        <w:t xml:space="preserve">Available in 1 to 2 mm Matrix System, 2 to 4 mm Matrix System, 1 to 2 mm Matrix System ‑ Rapid finish. 200Q Quartz Shield is a slip resistance additive made up of very fine, uniformly shaped and sized quartz granules. This additive is used in these Quartz Shield systems with a wide colour range including Arctic, Grain, Iron, Silver and Wine. The system is seamless, hard wearing, stain resistant and UV‑resistant.</w:t>
      </w:r>
    </w:p>
    <w:bookmarkEnd w:id="137"/>
    <w:bookmarkStart w:name="f-28939-28939.9" w:id="139"/>
    <w:p>
      <w:pPr>
        <w:pStyle w:val="Heading4"/>
      </w:pPr>
      <w:bookmarkStart w:name="h-28939-28939.9" w:id="140"/>
      <w:r>
        <w:rPr/>
        <w:t xml:space="preserve">APC Matrix</w:t>
      </w:r>
      <w:bookmarkEnd w:id="140"/>
    </w:p>
    <w:p>
      <w:pPr>
        <w:pStyle w:val="Body Text"/>
      </w:pPr>
      <w:r>
        <w:rPr/>
        <w:t xml:space="preserve">Description: High performance 4 coat system with epoxy and polyaspartic layers using silica sand or 200Q Quartz Shield broadcast. High build system where mortar coving can be added.</w:t>
      </w:r>
    </w:p>
    <w:p>
      <w:pPr>
        <w:pStyle w:val="Instructions"/>
      </w:pPr>
      <w:r>
        <w:rPr/>
        <w:t xml:space="preserve">Application: Industrial and commercial environments including aircraft hangars, industrial warehousing, mechanical warehouses, mining sites, abattoirs, waste water plants.</w:t>
      </w:r>
    </w:p>
    <w:p>
      <w:pPr>
        <w:pStyle w:val="Instructions"/>
      </w:pPr>
      <w:r>
        <w:rPr/>
        <w:t xml:space="preserve">Available in a semi‑gloss or matte finish: 1 to 2 mm Matrix System, 2 to 4 mm Matrix System, 1 to 2 mm Matrix System ‑ Rapid finish. The coating is seamless, long lasting, hard wearing, hygienic, stain resistant, slip resistant and UV‑resistant.</w:t>
      </w:r>
    </w:p>
    <w:bookmarkEnd w:id="139"/>
    <w:bookmarkStart w:name="f-28939-28939.10" w:id="141"/>
    <w:p>
      <w:pPr>
        <w:pStyle w:val="Heading4"/>
      </w:pPr>
      <w:bookmarkStart w:name="h-28939-28939.10" w:id="142"/>
      <w:r>
        <w:rPr/>
        <w:t xml:space="preserve">APC Metallic Marble</w:t>
      </w:r>
      <w:bookmarkEnd w:id="142"/>
    </w:p>
    <w:p>
      <w:pPr>
        <w:pStyle w:val="Body Text"/>
      </w:pPr>
      <w:r>
        <w:rPr/>
        <w:t xml:space="preserve">Description: High performance 6 coat system with epoxy, polyurethane or polyaspartic layers, with coloured marbled pattern look.</w:t>
      </w:r>
    </w:p>
    <w:p>
      <w:pPr>
        <w:pStyle w:val="Instructions"/>
      </w:pPr>
      <w:r>
        <w:rPr/>
        <w:t xml:space="preserve">Application: Interior and exterior settings including kitchens, living rooms, showrooms, garages, offices, hotel foyers, artworks, benchtops.</w:t>
      </w:r>
    </w:p>
    <w:p>
      <w:pPr>
        <w:pStyle w:val="Instructions"/>
      </w:pPr>
      <w:r>
        <w:rPr/>
        <w:t xml:space="preserve">Available in a high gloss, satin or matte finish. Colours from a range of tints, pigments and glitter can be combined to create different patterns in the floor. The system is seamless, long lasting, hygienic, stain resistant and UV‑resistant.</w:t>
      </w:r>
    </w:p>
    <w:bookmarkEnd w:id="141"/>
    <w:bookmarkStart w:name="f-28939-28939.11" w:id="143"/>
    <w:p>
      <w:pPr>
        <w:pStyle w:val="Heading4"/>
      </w:pPr>
      <w:bookmarkStart w:name="h-28939-28939.11" w:id="144"/>
      <w:r>
        <w:rPr/>
        <w:t xml:space="preserve">APC Swirl Coat</w:t>
      </w:r>
      <w:bookmarkEnd w:id="144"/>
    </w:p>
    <w:p>
      <w:pPr>
        <w:pStyle w:val="Body Text"/>
      </w:pPr>
      <w:r>
        <w:rPr/>
        <w:t xml:space="preserve">Description: High performance multicoat system with epoxy and polyaspartic layers, with coloured swirl marbled pattern look.</w:t>
      </w:r>
    </w:p>
    <w:p>
      <w:pPr>
        <w:pStyle w:val="Instructions"/>
      </w:pPr>
      <w:r>
        <w:rPr/>
        <w:t xml:space="preserve">Application: Interior and exterior settings including kitchens, living rooms, showrooms, garages, offices, hotel foyers, artworks, benchtops, patios.</w:t>
      </w:r>
    </w:p>
    <w:p>
      <w:pPr>
        <w:pStyle w:val="Instructions"/>
      </w:pPr>
      <w:r>
        <w:rPr/>
        <w:t xml:space="preserve">Available in a range of more than 205 colours to AS 2700 (2011) can be combined to create different patterns in the floor. The system is seamless, long lasting, hygienic, stain resistant and UV‑resistant.</w:t>
      </w:r>
    </w:p>
    <w:bookmarkEnd w:id="143"/>
    <w:bookmarkStart w:name="f-28939-28939.12" w:id="145"/>
    <w:p>
      <w:pPr>
        <w:pStyle w:val="Heading3"/>
      </w:pPr>
      <w:bookmarkStart w:name="h-28939-28939.12" w:id="146"/>
      <w:r>
        <w:rPr/>
        <w:t xml:space="preserve">APC EPO100 EPOXY</w:t>
      </w:r>
      <w:bookmarkEnd w:id="146"/>
    </w:p>
    <w:bookmarkEnd w:id="145"/>
    <w:bookmarkStart w:name="f-28939-28939.13" w:id="147"/>
    <w:p>
      <w:pPr>
        <w:pStyle w:val="Heading4"/>
      </w:pPr>
      <w:bookmarkStart w:name="h-28939-28939.13" w:id="148"/>
      <w:r>
        <w:rPr/>
        <w:t xml:space="preserve">APC EPO100ACCH epoxy accelerator hardener</w:t>
      </w:r>
      <w:bookmarkEnd w:id="148"/>
    </w:p>
    <w:p>
      <w:pPr>
        <w:pStyle w:val="Body Text"/>
      </w:pPr>
      <w:r>
        <w:rPr/>
        <w:t xml:space="preserve">Description: A high amine content curing agent used as a primer or in mortars and crack repair to reduce dry times.</w:t>
      </w:r>
    </w:p>
    <w:p>
      <w:pPr>
        <w:pStyle w:val="Instructions"/>
      </w:pPr>
      <w:r>
        <w:rPr/>
        <w:t xml:space="preserve">Application: Used in APC systems to reduce cure times, patching and mortar, and for a fast return to service.</w:t>
      </w:r>
    </w:p>
    <w:p>
      <w:pPr>
        <w:pStyle w:val="Instructions"/>
      </w:pPr>
      <w:r>
        <w:rPr/>
        <w:t xml:space="preserve">Features: Good chemical resistance, solvent free, low VOCs.</w:t>
      </w:r>
    </w:p>
    <w:bookmarkEnd w:id="147"/>
    <w:bookmarkStart w:name="f-28939-28939.14" w:id="149"/>
    <w:p>
      <w:pPr>
        <w:pStyle w:val="Heading4"/>
      </w:pPr>
      <w:bookmarkStart w:name="h-28939-28939.14" w:id="150"/>
      <w:r>
        <w:rPr/>
        <w:t xml:space="preserve">APC EPO100CC ChemiCoat epoxy resin</w:t>
      </w:r>
      <w:bookmarkEnd w:id="150"/>
    </w:p>
    <w:p>
      <w:pPr>
        <w:pStyle w:val="Body Text"/>
      </w:pPr>
      <w:r>
        <w:rPr/>
        <w:t xml:space="preserve">Description: A 100% solids, two‑part cycloaliphatic amine cured epoxy resin, industrial floor and wall coating. High gloss, self‑levelling epoxy, designed as a stand‑alone and as a binder for slip resistant surfaces.</w:t>
      </w:r>
    </w:p>
    <w:p>
      <w:pPr>
        <w:pStyle w:val="Instructions"/>
      </w:pPr>
      <w:r>
        <w:rPr/>
        <w:t xml:space="preserve">Application: Settings including tanks and sewage systems, mechanical workshops and warehouses, factories and food processing plants, laboratories, chemical and pharmaceutical industries, power stations, clean rooms, washrooms, cloakrooms, wet and dry process areas, loading bays and ramps, mining, battery storage areas.</w:t>
      </w:r>
    </w:p>
    <w:p>
      <w:pPr>
        <w:pStyle w:val="Instructions"/>
      </w:pPr>
      <w:r>
        <w:rPr/>
        <w:t xml:space="preserve">Features: High chemical resistance, low VOCs, high adhesion and durability, and high abrasion resistance, solvent free, MPa greater than concrete, amine blush resistance, water potable certified.</w:t>
      </w:r>
    </w:p>
    <w:bookmarkEnd w:id="149"/>
    <w:bookmarkStart w:name="f-28939-28939.15" w:id="151"/>
    <w:p>
      <w:pPr>
        <w:pStyle w:val="Heading4"/>
      </w:pPr>
      <w:bookmarkStart w:name="h-28939-28939.15" w:id="152"/>
      <w:r>
        <w:rPr/>
        <w:t xml:space="preserve">APC EPO100CM ceramic mortar</w:t>
      </w:r>
      <w:bookmarkEnd w:id="152"/>
    </w:p>
    <w:p>
      <w:pPr>
        <w:pStyle w:val="Body Text"/>
      </w:pPr>
      <w:r>
        <w:rPr/>
        <w:t xml:space="preserve">Description: A 100% solids, three‑part epoxy resin system, designed for applications demanding high structural integrity.</w:t>
      </w:r>
    </w:p>
    <w:p>
      <w:pPr>
        <w:pStyle w:val="Instructions"/>
      </w:pPr>
      <w:r>
        <w:rPr/>
        <w:t xml:space="preserve">Application: Mortar, crack repair, self‑levelling system, reciprocating machinery, testing equipment, heavy crane and transporter rails, high speed turbines, centrifugal and drop forges.</w:t>
      </w:r>
    </w:p>
    <w:p>
      <w:pPr>
        <w:pStyle w:val="Instructions"/>
      </w:pPr>
      <w:r>
        <w:rPr/>
        <w:t xml:space="preserve">Features: High chemical resistance, high compressive, tensile and flexural strengths, bond strength stronger than concrete, and food contact safe, resistant to repetitive dynamic loads, low yellowing properties, virtually no shrinkage.</w:t>
      </w:r>
    </w:p>
    <w:bookmarkEnd w:id="151"/>
    <w:bookmarkStart w:name="f-28939-28939.16" w:id="153"/>
    <w:p>
      <w:pPr>
        <w:pStyle w:val="Heading4"/>
      </w:pPr>
      <w:bookmarkStart w:name="h-28939-28939.16" w:id="154"/>
      <w:r>
        <w:rPr/>
        <w:t xml:space="preserve">APC EPO100EP epoxy putty</w:t>
      </w:r>
      <w:bookmarkEnd w:id="154"/>
    </w:p>
    <w:p>
      <w:pPr>
        <w:pStyle w:val="Body Text"/>
      </w:pPr>
      <w:r>
        <w:rPr/>
        <w:t xml:space="preserve">Description: A two‑part construction strength repair paste for concrete. Ideal for filling and repairing holes, cracks, and damage to concrete surfaces.</w:t>
      </w:r>
    </w:p>
    <w:p>
      <w:pPr>
        <w:pStyle w:val="Instructions"/>
      </w:pPr>
      <w:r>
        <w:rPr/>
        <w:t xml:space="preserve">Application: Crack repair, patching and joint filling, concrete columns and pre‑cast concrete, grouting bolts, bonding compressed cement sheets, concrete pipes and tanks, flush‑filling countersunk screws in fibre cement sheets, structural repairs.</w:t>
      </w:r>
    </w:p>
    <w:p>
      <w:pPr>
        <w:pStyle w:val="Instructions"/>
      </w:pPr>
      <w:r>
        <w:rPr/>
        <w:t xml:space="preserve">Features: High chemical resistance, high adhesion and bond strength, high impact resistance, low VOCs.</w:t>
      </w:r>
    </w:p>
    <w:bookmarkEnd w:id="153"/>
    <w:bookmarkStart w:name="f-28939-28939.17" w:id="155"/>
    <w:p>
      <w:pPr>
        <w:pStyle w:val="Heading4"/>
      </w:pPr>
      <w:bookmarkStart w:name="h-28939-28939.17" w:id="156"/>
      <w:r>
        <w:rPr/>
        <w:t xml:space="preserve">APC EPO100G glaze epoxy resin</w:t>
      </w:r>
      <w:bookmarkEnd w:id="156"/>
    </w:p>
    <w:p>
      <w:pPr>
        <w:pStyle w:val="Body Text"/>
      </w:pPr>
      <w:r>
        <w:rPr/>
        <w:t xml:space="preserve">Description: A 100% solids, two‑part cycloaliphatic amine cured resin, industrial to residential floor and wall coating. High gloss, self‑levelling epoxy that is water clear.</w:t>
      </w:r>
    </w:p>
    <w:p>
      <w:pPr>
        <w:pStyle w:val="Instructions"/>
      </w:pPr>
      <w:r>
        <w:rPr/>
        <w:t xml:space="preserve">Application: Mechanical workshops and warehouses, mining construction, factories, manufacturing facilities, car parks, loading bays, ramps, food processing plants, chemical and pharmaceutical industries, laboratories, exhibition halls, showrooms, washrooms, cloakrooms, wet and dry processing areas, government and education facilities, residential properties.</w:t>
      </w:r>
    </w:p>
    <w:p>
      <w:pPr>
        <w:pStyle w:val="Instructions"/>
      </w:pPr>
      <w:r>
        <w:rPr/>
        <w:t xml:space="preserve">Features: High chemical resistance, high adhesion and durability, high abrasion resistance, low VOCs, food contact safe, solvent free.</w:t>
      </w:r>
    </w:p>
    <w:bookmarkEnd w:id="155"/>
    <w:bookmarkStart w:name="f-28939-28939.18" w:id="157"/>
    <w:p>
      <w:pPr>
        <w:pStyle w:val="Heading4"/>
      </w:pPr>
      <w:bookmarkStart w:name="h-28939-28939.18" w:id="158"/>
      <w:r>
        <w:rPr/>
        <w:t xml:space="preserve">APC EPO100HCRH high chemical resistance hardener</w:t>
      </w:r>
      <w:bookmarkEnd w:id="158"/>
    </w:p>
    <w:p>
      <w:pPr>
        <w:pStyle w:val="Body Text"/>
      </w:pPr>
      <w:r>
        <w:rPr/>
        <w:t xml:space="preserve">Description: A cycloaliphatic amine adduct intended for use with EPO100T.</w:t>
      </w:r>
    </w:p>
    <w:p>
      <w:pPr>
        <w:pStyle w:val="Instructions"/>
      </w:pPr>
      <w:r>
        <w:rPr/>
        <w:t xml:space="preserve">Application: High solids coatings, self‑levelling flooring systems, chemically resistant tank linings, mortars and grouts, commercial kitchens and food processing plants, chemical‑resistant industrial flooring, manholes, wet wells and lift stations, wastewater and metal treatment plants, power stations, plastics industry, laboratories, battery storage areas.</w:t>
      </w:r>
    </w:p>
    <w:p>
      <w:pPr>
        <w:pStyle w:val="Instructions"/>
      </w:pPr>
      <w:r>
        <w:rPr/>
        <w:t xml:space="preserve">Features: High chemical resistance, high adhesion and durability, low VOCs, food contact safe, solvent free, good resistance to water spotting at ambient and low temperatures.</w:t>
      </w:r>
    </w:p>
    <w:bookmarkEnd w:id="157"/>
    <w:bookmarkStart w:name="f-28939-28939.19" w:id="159"/>
    <w:p>
      <w:pPr>
        <w:pStyle w:val="Heading4"/>
      </w:pPr>
      <w:bookmarkStart w:name="h-28939-28939.19" w:id="160"/>
      <w:r>
        <w:rPr/>
        <w:t xml:space="preserve">APC EPO100L line marking epoxy</w:t>
      </w:r>
      <w:bookmarkEnd w:id="160"/>
    </w:p>
    <w:p>
      <w:pPr>
        <w:pStyle w:val="Body Text"/>
      </w:pPr>
      <w:r>
        <w:rPr/>
        <w:t xml:space="preserve">Description: A two‑part, high performance tinted epoxy designed for a stand‑alone line marking coating for floor and wall applications, available in standard Australian line marking colours. Slip resistant additives can be added including silica sand and crushed glass.</w:t>
      </w:r>
    </w:p>
    <w:p>
      <w:pPr>
        <w:pStyle w:val="Instructions"/>
      </w:pPr>
      <w:r>
        <w:rPr/>
        <w:t xml:space="preserve">Application: Warehouses, commercial and industrial facilities, government projects, mining operations, garages and workshops, emergency service stations, manufacturing facilities, food manufacturing plants, wastewater treatment plants, commercial kitchens, educational facilities and showrooms.</w:t>
      </w:r>
    </w:p>
    <w:p>
      <w:pPr>
        <w:pStyle w:val="Instructions"/>
      </w:pPr>
      <w:r>
        <w:rPr/>
        <w:t xml:space="preserve">Features: Available in 205+ colours. Meets OHS requirements, strong adhesion to most substrates, chemical resistant, non‑porous, low VOCs, self‑levelling, low viscosity, easy to use – applicator friendly.</w:t>
      </w:r>
    </w:p>
    <w:bookmarkEnd w:id="159"/>
    <w:bookmarkStart w:name="f-28939-28939.20" w:id="161"/>
    <w:p>
      <w:pPr>
        <w:pStyle w:val="Heading4"/>
      </w:pPr>
      <w:bookmarkStart w:name="h-28939-28939.20" w:id="162"/>
      <w:r>
        <w:rPr/>
        <w:t xml:space="preserve">APC EPO100MTH moisture and metal tolerant hardener</w:t>
      </w:r>
      <w:bookmarkEnd w:id="162"/>
    </w:p>
    <w:p>
      <w:pPr>
        <w:pStyle w:val="Body Text"/>
      </w:pPr>
      <w:r>
        <w:rPr/>
        <w:t xml:space="preserve">Description: Used in systems where the epoxy may be applied to metal or exposed to moisture, cool temperatures and damp substrates. Capable of curing at temperature down to 5°C and can resist moisture while curing. Can create a strong bond to mineral based and metal substrates.</w:t>
      </w:r>
    </w:p>
    <w:p>
      <w:pPr>
        <w:pStyle w:val="Instructions"/>
      </w:pPr>
      <w:r>
        <w:rPr/>
        <w:t xml:space="preserve">Application: Maintenance and marine coatings, mining construction, chemical and pharmaceutical industries, food processing plants, containers and tanks, pipe and bridge coatings, primers for steel and concrete, automotive aftermarket, electrical castings, cold rooms.</w:t>
      </w:r>
    </w:p>
    <w:p>
      <w:pPr>
        <w:pStyle w:val="Instructions"/>
      </w:pPr>
      <w:r>
        <w:rPr/>
        <w:t xml:space="preserve">Features: Moisture tolerant during curing, high chemical resistance, high adhesion to damp, green and dry substrates, high durability and abrasion resistance, low VOCs, food contact safe, solvent free.</w:t>
      </w:r>
    </w:p>
    <w:bookmarkEnd w:id="161"/>
    <w:bookmarkStart w:name="f-28939-28939.21" w:id="163"/>
    <w:p>
      <w:pPr>
        <w:pStyle w:val="Heading4"/>
      </w:pPr>
      <w:bookmarkStart w:name="h-28939-28939.21" w:id="164"/>
      <w:r>
        <w:rPr/>
        <w:t xml:space="preserve">APC EPO100CLDH cold cure hardener</w:t>
      </w:r>
      <w:bookmarkEnd w:id="164"/>
    </w:p>
    <w:p>
      <w:pPr>
        <w:pStyle w:val="Body Text"/>
      </w:pPr>
      <w:r>
        <w:rPr/>
        <w:t xml:space="preserve">Description: Internal use only, provided the temperature is between 5°C and 15°C. Ideal for use in a matrix system to ensure strong and lasting results in continuously cold environments. Provides fast curing and longevity, activating in low temperatures and continuing to cure even as conditions fluctuate.</w:t>
      </w:r>
    </w:p>
    <w:p>
      <w:pPr>
        <w:pStyle w:val="Instructions"/>
      </w:pPr>
      <w:r>
        <w:rPr/>
        <w:t xml:space="preserve">Application: Cold rooms, cold storage warehouses, walk‑in freezers and refrigerators, food processing plants, dairy farms and milking parlours, ice rinks and arena walkways, medical and pharmaceutical labs, meat lockers and butcher shops, shopping centre internal areas, breweries and wineries storage areas.</w:t>
      </w:r>
    </w:p>
    <w:p>
      <w:pPr>
        <w:pStyle w:val="Instructions"/>
      </w:pPr>
      <w:r>
        <w:rPr/>
        <w:t xml:space="preserve">Features: Moisture tolerant during curing, high chemical resistance, high adhesion to damp, green and dry substrates, high durability and abrasion resistance, low VOCs, food contact safe, solvent free, self‑levelling and self priming.</w:t>
      </w:r>
    </w:p>
    <w:bookmarkEnd w:id="163"/>
    <w:bookmarkStart w:name="f-28939-28939.22" w:id="165"/>
    <w:p>
      <w:pPr>
        <w:pStyle w:val="Heading4"/>
      </w:pPr>
      <w:bookmarkStart w:name="h-28939-28939.22" w:id="166"/>
      <w:r>
        <w:rPr/>
        <w:t xml:space="preserve">APC EPO100T tinted epoxy resin</w:t>
      </w:r>
      <w:bookmarkEnd w:id="166"/>
    </w:p>
    <w:p>
      <w:pPr>
        <w:pStyle w:val="Body Text"/>
      </w:pPr>
      <w:r>
        <w:rPr/>
        <w:t xml:space="preserve">Description: A 100% solids, two‑part cycloaliphatic amine cured resin as a stand‑alone coating or as part of a floor or wall system. High gloss, self‑levelling and industrial grade epoxy. Resin‑rich formulation of bisphenol A/F for excellent resistance to a variety of chemicals and fumes.</w:t>
      </w:r>
    </w:p>
    <w:p>
      <w:pPr>
        <w:pStyle w:val="Instructions"/>
      </w:pPr>
      <w:r>
        <w:rPr/>
        <w:t xml:space="preserve">Application: Mechanical workshops and warehouses, mining construction, factories, manufacturing facilities, car parks, loading bays, ramps, food processing plants, chemical and pharmaceutical industries, laboratories, exhibition halls, showrooms, washrooms, cloakrooms, wet and dry processing areas, government and education facilities, residential properties.</w:t>
      </w:r>
    </w:p>
    <w:p>
      <w:pPr>
        <w:pStyle w:val="Instructions"/>
      </w:pPr>
      <w:r>
        <w:rPr/>
        <w:t xml:space="preserve">Features: High chemical resistance, high adhesion and durability, high abrasion resistance, low VOCs, food contact safe, solvent free, pre‑coloured/ tinted.</w:t>
      </w:r>
    </w:p>
    <w:bookmarkEnd w:id="165"/>
    <w:bookmarkStart w:name="f-28939-28939.23" w:id="167"/>
    <w:p>
      <w:pPr>
        <w:pStyle w:val="Heading4"/>
      </w:pPr>
      <w:bookmarkStart w:name="h-28939-28939.23" w:id="168"/>
      <w:r>
        <w:rPr/>
        <w:t xml:space="preserve">APC EPO100TP tinted pool epoxy resin</w:t>
      </w:r>
      <w:bookmarkEnd w:id="168"/>
    </w:p>
    <w:p>
      <w:pPr>
        <w:pStyle w:val="Body Text"/>
      </w:pPr>
      <w:r>
        <w:rPr/>
        <w:t xml:space="preserve">Description: A 100% solids, two‑part cycloaliphatic amine cured resin. High gloss, self‑levelling and colour stable epoxy. Designed for use in a range of swimming pools, with high chemical resistance making it ideal for use in wet environments.</w:t>
      </w:r>
    </w:p>
    <w:p>
      <w:pPr>
        <w:pStyle w:val="Instructions"/>
      </w:pPr>
      <w:r>
        <w:rPr/>
        <w:t xml:space="preserve">Application: New cement render, concrete swimming pools, previously painted epoxies, water tanks (non‑potable), fish ponds, fibreglass pools.</w:t>
      </w:r>
    </w:p>
    <w:p>
      <w:pPr>
        <w:pStyle w:val="Instructions"/>
      </w:pPr>
      <w:r>
        <w:rPr/>
        <w:t xml:space="preserve">Features: High chemical resistance, high adhesion and durability, high abrasion resistance, low VOCs, solvent free, pre‑coloured/ tinted, strong bond to most substrates, self‑levelling and self priming.</w:t>
      </w:r>
    </w:p>
    <w:bookmarkEnd w:id="167"/>
    <w:bookmarkStart w:name="f-28939-28939.24" w:id="169"/>
    <w:p>
      <w:pPr>
        <w:pStyle w:val="Heading4"/>
      </w:pPr>
      <w:bookmarkStart w:name="h-28939-28939.24" w:id="170"/>
      <w:r>
        <w:rPr/>
        <w:t xml:space="preserve">APC EPO100THW tinted epoxy winter hardener</w:t>
      </w:r>
      <w:bookmarkEnd w:id="170"/>
    </w:p>
    <w:p>
      <w:pPr>
        <w:pStyle w:val="Body Text"/>
      </w:pPr>
      <w:r>
        <w:rPr/>
        <w:t xml:space="preserve">Description: A specialty epoxy curing agent specifically for use in cooler weather and mixed with EPO100T. High gloss, self‑levelling and colour stable epoxy. Designed for use in a range of swimming pools, with high chemical resistance making it ideal for use in wet environments.</w:t>
      </w:r>
    </w:p>
    <w:p>
      <w:pPr>
        <w:pStyle w:val="Instructions"/>
      </w:pPr>
      <w:r>
        <w:rPr/>
        <w:t xml:space="preserve">Application: Mechanical workshops and warehouses, mining construction, factories, manufacturing facilities, car parks, loading bays, ramps, food processing plants, chemical and pharmaceutical industries, laboratories, exhibition halls, showrooms, washrooms, cloakrooms, wet and dry processing areas, government and education facilities, residential properties.</w:t>
      </w:r>
    </w:p>
    <w:p>
      <w:pPr>
        <w:pStyle w:val="Instructions"/>
      </w:pPr>
      <w:r>
        <w:rPr/>
        <w:t xml:space="preserve">Features: High chemical resistance, high adhesion and durability, high abrasion resistance, low VOCs, solvent free, pre‑coloured/ tinted, self‑levelling and self priming.</w:t>
      </w:r>
    </w:p>
    <w:bookmarkEnd w:id="169"/>
    <w:bookmarkStart w:name="f-28939-28939.25" w:id="171"/>
    <w:p>
      <w:pPr>
        <w:pStyle w:val="Heading3"/>
      </w:pPr>
      <w:bookmarkStart w:name="h-28939-28939.25" w:id="172"/>
      <w:r>
        <w:rPr/>
        <w:t xml:space="preserve">APC EPO‑HI HEAVY INDUSTRIES EPOXY</w:t>
      </w:r>
      <w:bookmarkEnd w:id="172"/>
    </w:p>
    <w:bookmarkEnd w:id="171"/>
    <w:bookmarkStart w:name="f-28939-28939.26" w:id="173"/>
    <w:p>
      <w:pPr>
        <w:pStyle w:val="Heading4"/>
      </w:pPr>
      <w:bookmarkStart w:name="h-28939-28939.26" w:id="174"/>
      <w:r>
        <w:rPr/>
        <w:t xml:space="preserve">APC EPO‑HI GPC general purpose clear epoxy</w:t>
      </w:r>
      <w:bookmarkEnd w:id="174"/>
    </w:p>
    <w:p>
      <w:pPr>
        <w:pStyle w:val="Body Text"/>
      </w:pPr>
      <w:r>
        <w:rPr/>
        <w:t xml:space="preserve">Description: A 100% solids, two‑part cycloaliphatic amine cured resin designed as a concrete primer and binder. Formulated with a bisphenol A/F blend, resulting in high chemical resistance against a wide variety of chemical spillage and vapours, making this epoxy ideal for use in heavy industry environments.</w:t>
      </w:r>
    </w:p>
    <w:p>
      <w:pPr>
        <w:pStyle w:val="Instructions"/>
      </w:pPr>
      <w:r>
        <w:rPr/>
        <w:t xml:space="preserve">Application: Binding systems, coving, mortar, crack repair, encapsulation, prime or sacrifice coat.</w:t>
      </w:r>
    </w:p>
    <w:p>
      <w:pPr>
        <w:pStyle w:val="Instructions"/>
      </w:pPr>
      <w:r>
        <w:rPr/>
        <w:t xml:space="preserve">Features: High chemical resistance, high adhesion, industrial strength, high build application, self‑levelling, low VOCs, solvent free, MPa greater than concrete, food contact safe.</w:t>
      </w:r>
    </w:p>
    <w:bookmarkEnd w:id="173"/>
    <w:bookmarkStart w:name="f-28939-28939.27" w:id="175"/>
    <w:p>
      <w:pPr>
        <w:pStyle w:val="Heading4"/>
      </w:pPr>
      <w:bookmarkStart w:name="h-28939-28939.27" w:id="176"/>
      <w:r>
        <w:rPr/>
        <w:t xml:space="preserve">APC EPO‑HI GPCHW general purpose clear epoxy winter hardener</w:t>
      </w:r>
      <w:bookmarkEnd w:id="176"/>
    </w:p>
    <w:p>
      <w:pPr>
        <w:pStyle w:val="Body Text"/>
      </w:pPr>
      <w:r>
        <w:rPr/>
        <w:t xml:space="preserve">Description: A specialty epoxy curing agent specifically for use in cooler weather and mixed with EPO‑HI GP clear resin. Shortens curing time and reduces the risk of amine blushing in cooler conditions. Formulated with a bisphenol A/F blend, resulting in high chemical resistance against a wide variety of chemical spillage and vapours, making this ideal for use in heavy industry environments.</w:t>
      </w:r>
    </w:p>
    <w:p>
      <w:pPr>
        <w:pStyle w:val="Instructions"/>
      </w:pPr>
      <w:r>
        <w:rPr/>
        <w:t xml:space="preserve">Application: Binding systems, coving, mortar, crack repair, encapsulation, prime or sacrifice coat.</w:t>
      </w:r>
    </w:p>
    <w:p>
      <w:pPr>
        <w:pStyle w:val="Instructions"/>
      </w:pPr>
      <w:r>
        <w:rPr/>
        <w:t xml:space="preserve">Features: High chemical resistance, high adhesion, industrial strength, high build application, self‑levelling, low VOCs, solvent free, MPa greater than concrete, food contact safe.</w:t>
      </w:r>
    </w:p>
    <w:bookmarkEnd w:id="175"/>
    <w:bookmarkStart w:name="f-28939-28939.28" w:id="177"/>
    <w:p>
      <w:pPr>
        <w:pStyle w:val="Heading4"/>
      </w:pPr>
      <w:bookmarkStart w:name="h-28939-28939.28" w:id="178"/>
      <w:r>
        <w:rPr/>
        <w:t xml:space="preserve">APC EPO‑HI GPT general purpose tinted epoxy</w:t>
      </w:r>
      <w:bookmarkEnd w:id="178"/>
    </w:p>
    <w:p>
      <w:pPr>
        <w:pStyle w:val="Body Text"/>
      </w:pPr>
      <w:r>
        <w:rPr/>
        <w:t xml:space="preserve">Description: A 100% solids, two‑part cycloaliphatic amine cured resin designed as a stand‑alone coating. Formulated with a bisphenol A/F blend, resulting in high chemical resistance against a wide variety of chemical spillage and vapours, making this epoxy ideal for use in heavy industry environments.</w:t>
      </w:r>
    </w:p>
    <w:p>
      <w:pPr>
        <w:pStyle w:val="Instructions"/>
      </w:pPr>
      <w:r>
        <w:rPr/>
        <w:t xml:space="preserve">Application: Mechanical workshops, mining construction, factories and manufacturing facilities, car parks, loading bays, ramps, exhibition halls, showrooms, wet and dry processing areas, warehouses.</w:t>
      </w:r>
    </w:p>
    <w:p>
      <w:pPr>
        <w:pStyle w:val="Instructions"/>
      </w:pPr>
      <w:r>
        <w:rPr/>
        <w:t xml:space="preserve">Features: High chemical resistance, high adhesion and durability, self‑levelling and self priming, low VOCs, solvent free, high abrasion resistance, pre‑coloured/ tinted, food contact safe.</w:t>
      </w:r>
    </w:p>
    <w:bookmarkEnd w:id="177"/>
    <w:bookmarkStart w:name="f-28939-28939.29" w:id="179"/>
    <w:p>
      <w:pPr>
        <w:pStyle w:val="Heading4"/>
      </w:pPr>
      <w:bookmarkStart w:name="h-28939-28939.29" w:id="180"/>
      <w:r>
        <w:rPr/>
        <w:t xml:space="preserve">APC EPO‑HI GPTHW general purpose tinted epoxy winter hardener</w:t>
      </w:r>
      <w:bookmarkEnd w:id="180"/>
    </w:p>
    <w:p>
      <w:pPr>
        <w:pStyle w:val="Body Text"/>
      </w:pPr>
      <w:r>
        <w:rPr/>
        <w:t xml:space="preserve">Description: A specialty epoxy curing agent specifically for use in cooler weather and mixed with EPO‑HI GP clear resin. Shortens curing time and reduces the risk of amine blushing in cooler conditions. Formulated with a bisphenol A/F blend, resulting in high chemical resistance against a wide variety of chemical spillage and vapours, making this ideal for use in heavy industry environments.</w:t>
      </w:r>
    </w:p>
    <w:p>
      <w:pPr>
        <w:pStyle w:val="Instructions"/>
      </w:pPr>
      <w:r>
        <w:rPr/>
        <w:t xml:space="preserve">Application: Mechanical workshops, mining construction, factories and manufacturing facilities, car parks, loading bays, ramps, exhibition halls, showrooms, wet and dry processing areas, warehouses.</w:t>
      </w:r>
    </w:p>
    <w:p>
      <w:pPr>
        <w:pStyle w:val="Instructions"/>
      </w:pPr>
      <w:r>
        <w:rPr/>
        <w:t xml:space="preserve">Features: High chemical resistance, high adhesion and durability, self‑levelling and self priming, low VOCs, solvent free, high abrasion resistance, pre‑coloured/ tinted, food contact safe.</w:t>
      </w:r>
    </w:p>
    <w:bookmarkEnd w:id="179"/>
    <w:bookmarkStart w:name="f-28939-28939.30" w:id="181"/>
    <w:p>
      <w:pPr>
        <w:pStyle w:val="Heading3"/>
      </w:pPr>
      <w:bookmarkStart w:name="h-28939-28939.30" w:id="182"/>
      <w:r>
        <w:rPr/>
        <w:t xml:space="preserve">APC POLYURETHANES</w:t>
      </w:r>
      <w:bookmarkEnd w:id="182"/>
    </w:p>
    <w:bookmarkEnd w:id="181"/>
    <w:bookmarkStart w:name="f-28939-28939.31" w:id="183"/>
    <w:p>
      <w:pPr>
        <w:pStyle w:val="Heading4"/>
      </w:pPr>
      <w:bookmarkStart w:name="h-28939-28939.31" w:id="184"/>
      <w:r>
        <w:rPr/>
        <w:t xml:space="preserve">APC 500L Liquathane</w:t>
      </w:r>
      <w:bookmarkEnd w:id="184"/>
    </w:p>
    <w:p>
      <w:pPr>
        <w:pStyle w:val="Body Text"/>
      </w:pPr>
      <w:r>
        <w:rPr/>
        <w:t xml:space="preserve">Description: A water‑based, two‑part clear polyurethane with semi‑gloss satin finish. Often used for commercial applications where solvent‑based products cannot be applied due to restrictions or customer specifications. Durable, hardwearing and has little to no odour during application and curing process.</w:t>
      </w:r>
    </w:p>
    <w:p>
      <w:pPr>
        <w:pStyle w:val="Instructions"/>
      </w:pPr>
      <w:r>
        <w:rPr/>
        <w:t xml:space="preserve">Application: Grind and seal of new and existing concrete, topical coating, warehouses, commercial spaces and retail stores, residential properties, external and internal spaces.</w:t>
      </w:r>
    </w:p>
    <w:p>
      <w:pPr>
        <w:pStyle w:val="Instructions"/>
      </w:pPr>
      <w:r>
        <w:rPr/>
        <w:t xml:space="preserve">Features: Hard wearing, chemical and solvent resistant, low VOCs, low odour, non‑foaming, minimal colour change to substrate, good film build, roller or spray applied, applicator friendly.</w:t>
      </w:r>
    </w:p>
    <w:bookmarkEnd w:id="183"/>
    <w:bookmarkStart w:name="f-28939-28939.32" w:id="185"/>
    <w:p>
      <w:pPr>
        <w:pStyle w:val="Heading4"/>
      </w:pPr>
      <w:bookmarkStart w:name="h-28939-28939.32" w:id="186"/>
      <w:r>
        <w:rPr/>
        <w:t xml:space="preserve">APC 500LM Liquathane matte</w:t>
      </w:r>
      <w:bookmarkEnd w:id="186"/>
    </w:p>
    <w:p>
      <w:pPr>
        <w:pStyle w:val="Body Text"/>
      </w:pPr>
      <w:r>
        <w:rPr/>
        <w:t xml:space="preserve">Description: A water‑based, two‑part clear polyurethane with matte finish. Often used for commercial applications where solvent‑based products cannot be applied due to restrictions or customer specifications. Durable, hardwearing and has little to no odour during application and curing process.</w:t>
      </w:r>
    </w:p>
    <w:p>
      <w:pPr>
        <w:pStyle w:val="Instructions"/>
      </w:pPr>
      <w:r>
        <w:rPr/>
        <w:t xml:space="preserve">Application: Grind and seal of new and existing concrete, topical coating, warehouses, commercial spaces and retail stores, residential properties, external and internal spaces.</w:t>
      </w:r>
    </w:p>
    <w:p>
      <w:pPr>
        <w:pStyle w:val="Instructions"/>
      </w:pPr>
      <w:r>
        <w:rPr/>
        <w:t xml:space="preserve">Features: Hard wearing, chemical and solvent resistant, low VOCs, low odour, non‑foaming, minimal colour change to substrate, good film build, roller or spray applied, applicator friendly.</w:t>
      </w:r>
    </w:p>
    <w:bookmarkEnd w:id="185"/>
    <w:bookmarkStart w:name="f-28939-28939.33" w:id="187"/>
    <w:p>
      <w:pPr>
        <w:pStyle w:val="Heading4"/>
      </w:pPr>
      <w:bookmarkStart w:name="h-28939-28939.33" w:id="188"/>
      <w:r>
        <w:rPr/>
        <w:t xml:space="preserve">APC 500T Tetrathane</w:t>
      </w:r>
      <w:bookmarkEnd w:id="188"/>
    </w:p>
    <w:p>
      <w:pPr>
        <w:pStyle w:val="Body Text"/>
      </w:pPr>
      <w:r>
        <w:rPr/>
        <w:t xml:space="preserve">Description: A single pack, solvent‑based, aliphatic, moisture cure polyurethane with high gloss finish and extreme resistance to yellowing and effects of UV exposure. It is UV stable and a UV protectant in partial or direct sunlight in interior or exterior settings, when used as a topcoat in most APC systems or as a stand‑alone topical coating over prepared concrete.</w:t>
      </w:r>
    </w:p>
    <w:p>
      <w:pPr>
        <w:pStyle w:val="Instructions"/>
      </w:pPr>
      <w:r>
        <w:rPr/>
        <w:t xml:space="preserve">Application: Top coat over most EPO100 epoxy systems, priming and base coats, outdoor areas, domestic, commercial and industrial floors, restaurant floors, cold storage area floors, garage floors.</w:t>
      </w:r>
    </w:p>
    <w:p>
      <w:pPr>
        <w:pStyle w:val="Instructions"/>
      </w:pPr>
      <w:r>
        <w:rPr/>
        <w:t xml:space="preserve">Features: Good abrasion resistance, high tensile strength, fast cure, able to be tinted, extra low viscosity, in service temperature range ‑15°C to 90°C, extended pot life.</w:t>
      </w:r>
    </w:p>
    <w:bookmarkEnd w:id="187"/>
    <w:bookmarkStart w:name="f-28939-28939.34" w:id="189"/>
    <w:p>
      <w:pPr>
        <w:pStyle w:val="Heading3"/>
      </w:pPr>
      <w:bookmarkStart w:name="h-28939-28939.34" w:id="190"/>
      <w:r>
        <w:rPr/>
        <w:t xml:space="preserve">APC POLYASPARTICS</w:t>
      </w:r>
      <w:bookmarkEnd w:id="190"/>
    </w:p>
    <w:bookmarkEnd w:id="189"/>
    <w:bookmarkStart w:name="f-28939-28939.35" w:id="191"/>
    <w:p>
      <w:pPr>
        <w:pStyle w:val="Heading4"/>
      </w:pPr>
      <w:bookmarkStart w:name="h-28939-28939.35" w:id="192"/>
      <w:r>
        <w:rPr/>
        <w:t xml:space="preserve">APC SPA60 Sparta60 polyaspartic</w:t>
      </w:r>
      <w:bookmarkEnd w:id="192"/>
    </w:p>
    <w:p>
      <w:pPr>
        <w:pStyle w:val="Body Text"/>
      </w:pPr>
      <w:r>
        <w:rPr/>
        <w:t xml:space="preserve">Description: A two‑part, high gloss, polyaspartic coating for rapid curing and fast return to service with UV resistance and UV protection. Designed for a diverse range of interior and exterior applications in domestic, commercial and heavy industrial environments.</w:t>
      </w:r>
    </w:p>
    <w:p>
      <w:pPr>
        <w:pStyle w:val="Instructions"/>
      </w:pPr>
      <w:r>
        <w:rPr/>
        <w:t xml:space="preserve">Application: Domestic, commercial and industrial floors, restaurant floors, warehouses and factories, garage floors, hairdressers, Cut &amp; Coat Systems, outdoor areas.</w:t>
      </w:r>
    </w:p>
    <w:p>
      <w:pPr>
        <w:pStyle w:val="Instructions"/>
      </w:pPr>
      <w:r>
        <w:rPr/>
        <w:t xml:space="preserve">Features: UV‑resistant and protectant, good abrasion resistance, high tensile strength, fast cure, able to be tinted, extra low viscosity, in service temperature range ‑15°C to 90°C, extended pot life.</w:t>
      </w:r>
    </w:p>
    <w:bookmarkEnd w:id="191"/>
    <w:bookmarkStart w:name="f-28939-28939.36" w:id="193"/>
    <w:p>
      <w:pPr>
        <w:pStyle w:val="Heading4"/>
      </w:pPr>
      <w:bookmarkStart w:name="h-28939-28939.36" w:id="194"/>
      <w:r>
        <w:rPr/>
        <w:t xml:space="preserve">APC SPAGUARD Sparta Guard polyaspartic</w:t>
      </w:r>
      <w:bookmarkEnd w:id="194"/>
    </w:p>
    <w:p>
      <w:pPr>
        <w:pStyle w:val="Body Text"/>
      </w:pPr>
      <w:r>
        <w:rPr/>
        <w:t xml:space="preserve">Description: A two‑part, high gloss, polyaspartic coating for rapid curing and fast return to service with UV resistance and UV protection. Suitable for schools, education facilities and other government projects.</w:t>
      </w:r>
    </w:p>
    <w:p>
      <w:pPr>
        <w:pStyle w:val="Instructions"/>
      </w:pPr>
      <w:r>
        <w:rPr/>
        <w:t xml:space="preserve">Application: Schools, educational facilities, government projects, warehouses, factories, commercial and industrial floors, interior and exterior residential, garage floors.</w:t>
      </w:r>
    </w:p>
    <w:p>
      <w:pPr>
        <w:pStyle w:val="Instructions"/>
      </w:pPr>
      <w:r>
        <w:rPr/>
        <w:t xml:space="preserve">Features: UV‑resistant and protectant, good abrasion resistance, high tensile strength, fast cure, low viscosity, low VOCs, in service temperature range 10°C to 60°C.</w:t>
      </w:r>
    </w:p>
    <w:bookmarkEnd w:id="193"/>
    <w:bookmarkStart w:name="f-28939-28939.37" w:id="195"/>
    <w:p>
      <w:pPr>
        <w:pStyle w:val="Heading4"/>
      </w:pPr>
      <w:bookmarkStart w:name="h-28939-28939.37" w:id="196"/>
      <w:r>
        <w:rPr/>
        <w:t xml:space="preserve">APC SPASHIELD Sparta Shield polyaspartic</w:t>
      </w:r>
      <w:bookmarkEnd w:id="196"/>
    </w:p>
    <w:p>
      <w:pPr>
        <w:pStyle w:val="Body Text"/>
      </w:pPr>
      <w:r>
        <w:rPr/>
        <w:t xml:space="preserve">Description: A two‑part, high gloss, polyaspartic coating for rapid curing and fast return to service with UV resistance and UV protection. Specifically designed for exterior applications including commercial, industrial and residential environments.</w:t>
      </w:r>
    </w:p>
    <w:p>
      <w:pPr>
        <w:pStyle w:val="Instructions"/>
      </w:pPr>
      <w:r>
        <w:rPr/>
        <w:t xml:space="preserve">Application: Commercial, industrial and domestic floors, exterior applications, pool surrounds, driveways, pathways, walkways, entryways, service stations, car parks, courtyards, outdoor common areas.</w:t>
      </w:r>
    </w:p>
    <w:p>
      <w:pPr>
        <w:pStyle w:val="Instructions"/>
      </w:pPr>
      <w:r>
        <w:rPr/>
        <w:t xml:space="preserve">Features: UV‑resistant and protectant, good abrasion resistance, high tensile strength, fast cure, low viscosity, low VOCs, in service temperature range 10°C to 60°C.</w:t>
      </w:r>
    </w:p>
    <w:bookmarkEnd w:id="195"/>
    <w:bookmarkStart w:name="f-28939-28939.38" w:id="197"/>
    <w:p>
      <w:pPr>
        <w:pStyle w:val="Heading3"/>
      </w:pPr>
      <w:bookmarkStart w:name="h-28939-28939.38" w:id="198"/>
      <w:r>
        <w:rPr/>
        <w:t xml:space="preserve">APC CONCRETE TREATMENTS</w:t>
      </w:r>
      <w:bookmarkEnd w:id="198"/>
    </w:p>
    <w:bookmarkEnd w:id="197"/>
    <w:bookmarkStart w:name="f-28939-28939.39" w:id="199"/>
    <w:p>
      <w:pPr>
        <w:pStyle w:val="Heading4"/>
      </w:pPr>
      <w:bookmarkStart w:name="h-28939-28939.39" w:id="200"/>
      <w:r>
        <w:rPr/>
        <w:t xml:space="preserve">APC 800C concrete sealer clear</w:t>
      </w:r>
      <w:bookmarkEnd w:id="200"/>
    </w:p>
    <w:p>
      <w:pPr>
        <w:pStyle w:val="Body Text"/>
      </w:pPr>
      <w:r>
        <w:rPr/>
        <w:t xml:space="preserve">Description: A single pack, solvent‑based acrylic sealer with a semi‑gloss, wet‑look finish that helps protect the coated substrate from ingress of dirt, grime and light contamination. It can help reduce the effects of weathering on exposed surfaces.</w:t>
      </w:r>
    </w:p>
    <w:p>
      <w:pPr>
        <w:pStyle w:val="Instructions"/>
      </w:pPr>
      <w:r>
        <w:rPr/>
        <w:t xml:space="preserve">Application: Stamped, coloured and stencil concrete, resurfacing systems, exposed aggregate.</w:t>
      </w:r>
    </w:p>
    <w:p>
      <w:pPr>
        <w:pStyle w:val="Instructions"/>
      </w:pPr>
      <w:r>
        <w:rPr/>
        <w:t xml:space="preserve">Features: Easy to apply and fast drying, UV‑resistant, high solids, breathable, flexible.</w:t>
      </w:r>
    </w:p>
    <w:bookmarkEnd w:id="199"/>
    <w:bookmarkStart w:name="f-28939-28939.40" w:id="201"/>
    <w:p>
      <w:pPr>
        <w:pStyle w:val="Heading4"/>
      </w:pPr>
      <w:bookmarkStart w:name="h-28939-28939.40" w:id="202"/>
      <w:r>
        <w:rPr/>
        <w:t xml:space="preserve">APC 800W concrete sealer water‑based</w:t>
      </w:r>
      <w:bookmarkEnd w:id="202"/>
    </w:p>
    <w:p>
      <w:pPr>
        <w:pStyle w:val="Body Text"/>
      </w:pPr>
      <w:r>
        <w:rPr/>
        <w:t xml:space="preserve">Description: A single pack, water‑based acrylic, self‑cross‑linking sealer with a semi‑gloss finish that is designed to penetrate and adhere to concrete surfaces. It is best used to reduce the dusting of concrete.</w:t>
      </w:r>
    </w:p>
    <w:p>
      <w:pPr>
        <w:pStyle w:val="Instructions"/>
      </w:pPr>
      <w:r>
        <w:rPr/>
        <w:t xml:space="preserve">Application: Stamped, coloured and stencil concrete, resurfacing systems, exposed aggregate.</w:t>
      </w:r>
    </w:p>
    <w:p>
      <w:pPr>
        <w:pStyle w:val="Instructions"/>
      </w:pPr>
      <w:r>
        <w:rPr/>
        <w:t xml:space="preserve">Features: Easy to apply and fast drying, UV‑resistant, high solids, breathable, flexible, solvent free, no VOCs.</w:t>
      </w:r>
    </w:p>
    <w:bookmarkEnd w:id="201"/>
    <w:bookmarkStart w:name="f-28939-28939.41" w:id="203"/>
    <w:p>
      <w:pPr>
        <w:pStyle w:val="Heading4"/>
      </w:pPr>
      <w:bookmarkStart w:name="h-28939-28939.41" w:id="204"/>
      <w:r>
        <w:rPr/>
        <w:t xml:space="preserve">APC 700D Densicure densifier (potassium)</w:t>
      </w:r>
      <w:bookmarkEnd w:id="204"/>
    </w:p>
    <w:p>
      <w:pPr>
        <w:pStyle w:val="Body Text"/>
      </w:pPr>
      <w:r>
        <w:rPr/>
        <w:t xml:space="preserve">Description: Water‑based potassium densifier designed to penetrate deep into concrete and react with the free calcium and lime, providing a harder, densified surface that will be more resistant to wear, chemicals and dusting. It reacts to create calcium silicate hydrate that fills the voids in the concrete to increase the strength and durability of the concrete and make it less permeable to prevent staining and efflorescence build‑up.</w:t>
      </w:r>
    </w:p>
    <w:p>
      <w:pPr>
        <w:pStyle w:val="Instructions"/>
      </w:pPr>
      <w:r>
        <w:rPr/>
        <w:t xml:space="preserve">Application: Concrete sealer/protectant, to densify concrete for diamond polishing, enhance gloss, harden and increase lifespan of concrete.</w:t>
      </w:r>
    </w:p>
    <w:p>
      <w:pPr>
        <w:pStyle w:val="Instructions"/>
      </w:pPr>
      <w:r>
        <w:rPr/>
        <w:t xml:space="preserve">Features: Reduces porosity and permeability of concrete, minimises the occurrence of efflorescence, reduces dust, small moss, mould and algae growth, UV stable, silane free, water‑based with no odour, will not flake, peel or scratch‑off, suitable for food preparation areas, non‑flammable, chemical and solvent resistant.</w:t>
      </w:r>
    </w:p>
    <w:bookmarkEnd w:id="203"/>
    <w:bookmarkStart w:name="f-28939-28939.42" w:id="205"/>
    <w:p>
      <w:pPr>
        <w:pStyle w:val="Heading4"/>
      </w:pPr>
      <w:bookmarkStart w:name="h-28939-28939.42" w:id="206"/>
      <w:r>
        <w:rPr/>
        <w:t xml:space="preserve">APC 700G grout (polymer)</w:t>
      </w:r>
      <w:bookmarkEnd w:id="206"/>
    </w:p>
    <w:p>
      <w:pPr>
        <w:pStyle w:val="Body Text"/>
      </w:pPr>
      <w:r>
        <w:rPr/>
        <w:t xml:space="preserve">Description: A single part grouting and bonding agent, and an important part of the concrete polishing process. Designed to fill pinholes and cracks in a concrete substrate. Suitable to grouting prior to applying a Cut and Coat System.</w:t>
      </w:r>
    </w:p>
    <w:p>
      <w:pPr>
        <w:pStyle w:val="Instructions"/>
      </w:pPr>
      <w:r>
        <w:rPr/>
        <w:t xml:space="preserve">Application: Bonding agent for resurfacing compounds, patching, fitting small air pockets/pinholes, internal and external concrete.</w:t>
      </w:r>
    </w:p>
    <w:p>
      <w:pPr>
        <w:pStyle w:val="Instructions"/>
      </w:pPr>
      <w:r>
        <w:rPr/>
        <w:t xml:space="preserve">Features: Low VOCs, fast curing, strong bonding, non‑yellowing, environmentally friendly.</w:t>
      </w:r>
    </w:p>
    <w:bookmarkEnd w:id="205"/>
    <w:bookmarkStart w:name="f-28939-28939.43" w:id="207"/>
    <w:p>
      <w:pPr>
        <w:pStyle w:val="Heading3"/>
      </w:pPr>
      <w:bookmarkStart w:name="h-28939-28939.43" w:id="208"/>
      <w:r>
        <w:rPr/>
        <w:t xml:space="preserve">APC ADDITIVES</w:t>
      </w:r>
      <w:bookmarkEnd w:id="208"/>
    </w:p>
    <w:bookmarkEnd w:id="207"/>
    <w:bookmarkStart w:name="f-28939-28939.44" w:id="209"/>
    <w:p>
      <w:pPr>
        <w:pStyle w:val="Heading4"/>
      </w:pPr>
      <w:bookmarkStart w:name="h-28939-28939.44" w:id="210"/>
      <w:r>
        <w:rPr/>
        <w:t xml:space="preserve">APC RTHICK resin thickener</w:t>
      </w:r>
      <w:bookmarkEnd w:id="210"/>
    </w:p>
    <w:p>
      <w:pPr>
        <w:pStyle w:val="Body Text"/>
      </w:pPr>
      <w:r>
        <w:rPr/>
        <w:t xml:space="preserve">Description: A rheology modifier used to thicken epoxy resin. Treated with PDMS which results in a hydrophobic silica providing a higher performance value than untreated fumed silica.</w:t>
      </w:r>
    </w:p>
    <w:p>
      <w:pPr>
        <w:pStyle w:val="Instructions"/>
      </w:pPr>
      <w:r>
        <w:rPr/>
        <w:t xml:space="preserve">Application: Vertical surfaces, overhead surfaces, gap filing, fairing, structural bonding, filleting, laminating.</w:t>
      </w:r>
    </w:p>
    <w:p>
      <w:pPr>
        <w:pStyle w:val="Instructions"/>
      </w:pPr>
      <w:r>
        <w:rPr/>
        <w:t xml:space="preserve">Features: Adds volume, anti‑sag, high strength, strong adhesion, lightweight.</w:t>
      </w:r>
    </w:p>
    <w:bookmarkEnd w:id="209"/>
    <w:bookmarkStart w:name="f-28939-28939.45" w:id="211"/>
    <w:p>
      <w:pPr>
        <w:pStyle w:val="Heading4"/>
      </w:pPr>
      <w:bookmarkStart w:name="h-28939-28939.45" w:id="212"/>
      <w:r>
        <w:rPr/>
        <w:t xml:space="preserve">APC 200Q Quartz Shield</w:t>
      </w:r>
      <w:bookmarkEnd w:id="212"/>
    </w:p>
    <w:p>
      <w:pPr>
        <w:pStyle w:val="Body Text"/>
      </w:pPr>
      <w:r>
        <w:rPr/>
        <w:t xml:space="preserve">Description: A slip resistant additive made with fine, uniformly shaped and sized quartz granules that create a brilliantly coloured product with a wide variety of textures to reduce the risk of slip and fall related injuries. Used in a resin system with pigments to create a surface that has high chemical and UV resistance.</w:t>
      </w:r>
    </w:p>
    <w:p>
      <w:pPr>
        <w:pStyle w:val="Instructions"/>
      </w:pPr>
      <w:r>
        <w:rPr/>
        <w:t xml:space="preserve">Application: Mechanical workshops and warehouses, factories, manufacturing facilities, car parks, loading bays, ramps, food processing plants, chemical and pharmaceutical industries, laboratories, washrooms, cloakrooms, wet and dry areas, residential properties, commercial areas, pool surrounds.</w:t>
      </w:r>
    </w:p>
    <w:p>
      <w:pPr>
        <w:pStyle w:val="Instructions"/>
      </w:pPr>
      <w:r>
        <w:rPr/>
        <w:t xml:space="preserve">Features: UV‑resistant, high abrasion resistance, high chemical resistance, slip resistant, high durability, food contact safe.</w:t>
      </w:r>
    </w:p>
    <w:bookmarkEnd w:id="211"/>
    <w:bookmarkStart w:name="f-28939-10" w:id="213"/>
    <w:p>
      <w:pPr>
        <w:pStyle w:val="Heading3"/>
      </w:pPr>
      <w:bookmarkStart w:name="h-28939-10" w:id="214"/>
      <w:r>
        <w:rPr/>
        <w:t xml:space="preserve">OTHER MATERIALS</w:t>
      </w:r>
      <w:bookmarkEnd w:id="214"/>
    </w:p>
    <w:bookmarkEnd w:id="213"/>
    <w:bookmarkStart w:name="f-28939-15" w:id="215"/>
    <w:p>
      <w:pPr>
        <w:pStyle w:val="OptionalHeading4"/>
      </w:pPr>
      <w:bookmarkStart w:name="h-28939-15" w:id="216"/>
      <w:r>
        <w:rPr/>
        <w:t xml:space="preserve">Moisture barrier</w:t>
      </w:r>
      <w:bookmarkEnd w:id="216"/>
    </w:p>
    <w:p>
      <w:pPr>
        <w:pStyle w:val="OptionalNormal"/>
      </w:pPr>
      <w:r>
        <w:rPr/>
        <w:t xml:space="preserve">Description: Moisture barrier primer, sealer or base coat to the substrate to manufacturer's recommendations.</w:t>
      </w:r>
    </w:p>
    <w:p>
      <w:pPr>
        <w:pStyle w:val="Instructions"/>
      </w:pPr>
      <w:r>
        <w:rPr/>
        <w:t xml:space="preserve">If testing to AS 1884 (2021) shows the moisture content of the concrete slab exceeds the requirements of AS 1884 (2021) or the manufacturer's recommendations, a moisture barrier may be required. If a moisture suppression system is acceptable, consider including this </w:t>
      </w:r>
      <w:r>
        <w:rPr>
          <w:i/>
        </w:rPr>
        <w:t xml:space="preserve">Optional</w:t>
      </w:r>
      <w:r>
        <w:rPr/>
        <w:t xml:space="preserve"> style text by changing to </w:t>
      </w:r>
      <w:r>
        <w:rPr>
          <w:i/>
        </w:rPr>
        <w:t xml:space="preserve">Normal</w:t>
      </w:r>
      <w:r>
        <w:rPr/>
        <w:t xml:space="preserve"> style text. See NATSPEC TECHnote DES 008 on the preparation of concrete substrates.</w:t>
      </w:r>
    </w:p>
    <w:bookmarkEnd w:id="215"/>
    <w:bookmarkStart w:name="f-28939-11" w:id="217"/>
    <w:p>
      <w:pPr>
        <w:pStyle w:val="Heading4"/>
      </w:pPr>
      <w:bookmarkStart w:name="h-28939-11" w:id="218"/>
      <w:r>
        <w:rPr/>
        <w:t xml:space="preserve">Tactile ground surface indicators</w:t>
      </w:r>
      <w:bookmarkEnd w:id="218"/>
    </w:p>
    <w:p>
      <w:pPr>
        <w:pStyle w:val="Body Text"/>
      </w:pPr>
      <w:r>
        <w:rPr/>
        <w:t xml:space="preserve">Standard: To AS/NZS 1428.4.1 (2009).</w:t>
      </w:r>
    </w:p>
    <w:p>
      <w:pPr>
        <w:pStyle w:val="Instructions"/>
      </w:pPr>
      <w:r>
        <w:rPr/>
        <w:t xml:space="preserve">The NCC cites AS 1428.4 (1992) and AS/NZS 1428.4.1 (2009). The current edition is AS/NZS 1428.4.1 (2009).</w:t>
      </w:r>
    </w:p>
    <w:p>
      <w:pPr>
        <w:pStyle w:val="Instructions"/>
      </w:pPr>
      <w:r>
        <w:rPr/>
        <w:t xml:space="preserve">Document in the </w:t>
      </w:r>
      <w:r>
        <w:rPr>
          <w:b/>
        </w:rPr>
        <w:t xml:space="preserve">Tactile ground surface indicators schedule</w:t>
      </w:r>
      <w:r>
        <w:rPr/>
        <w:t xml:space="preserve">.</w:t>
      </w:r>
    </w:p>
    <w:bookmarkEnd w:id="217"/>
    <w:bookmarkEnd w:id="97"/>
    <w:bookmarkStart w:name="f-28943" w:id="219"/>
    <w:bookmarkStart w:name="f-28943-1" w:id="220"/>
    <w:p>
      <w:pPr>
        <w:pStyle w:val="Heading2"/>
      </w:pPr>
      <w:bookmarkStart w:name="h-28943-1" w:id="221"/>
      <w:r>
        <w:rPr/>
        <w:t xml:space="preserve">EXECUTION</w:t>
      </w:r>
      <w:bookmarkEnd w:id="221"/>
    </w:p>
    <w:bookmarkEnd w:id="220"/>
    <w:bookmarkStart w:name="f-28943-2" w:id="222"/>
    <w:p>
      <w:pPr>
        <w:pStyle w:val="Heading3"/>
      </w:pPr>
      <w:bookmarkStart w:name="h-28943-2" w:id="223"/>
      <w:r>
        <w:rPr/>
        <w:t xml:space="preserve">GENERAL</w:t>
      </w:r>
      <w:bookmarkEnd w:id="223"/>
    </w:p>
    <w:bookmarkEnd w:id="222"/>
    <w:bookmarkStart w:name="f-28943-3" w:id="224"/>
    <w:p>
      <w:pPr>
        <w:pStyle w:val="Heading4"/>
      </w:pPr>
      <w:bookmarkStart w:name="h-28943-3" w:id="225"/>
      <w:r>
        <w:rPr/>
        <w:t xml:space="preserve">Subcontractors</w:t>
      </w:r>
      <w:bookmarkEnd w:id="225"/>
    </w:p>
    <w:p>
      <w:pPr>
        <w:pStyle w:val="Body Text"/>
      </w:pPr>
      <w:r>
        <w:rPr/>
        <w:t xml:space="preserve">Requirement: Use specialist applicators recommended by APC.</w:t>
      </w:r>
    </w:p>
    <w:bookmarkEnd w:id="224"/>
    <w:bookmarkStart w:name="f-28943-4" w:id="226"/>
    <w:p>
      <w:pPr>
        <w:pStyle w:val="Heading4"/>
      </w:pPr>
      <w:bookmarkStart w:name="h-28943-4" w:id="227"/>
      <w:r>
        <w:rPr/>
        <w:t xml:space="preserve">Ambient conditions</w:t>
      </w:r>
      <w:bookmarkEnd w:id="227"/>
    </w:p>
    <w:p>
      <w:pPr>
        <w:pStyle w:val="Body Text"/>
      </w:pPr>
      <w:r>
        <w:rPr/>
        <w:t xml:space="preserve">General: Do not start work before the building is enclosed and wet work is complete and dry.</w:t>
      </w:r>
    </w:p>
    <w:p>
      <w:pPr>
        <w:pStyle w:val="Body Text"/>
      </w:pPr>
      <w:r>
        <w:rPr/>
        <w:t xml:space="preserve">Room and floor temperature: Maintain at temperatures recommended by the manufacturer for a minimum of 72 hours before and after the floor installation.</w:t>
      </w:r>
    </w:p>
    <w:p>
      <w:pPr>
        <w:pStyle w:val="Body Text"/>
      </w:pPr>
      <w:r>
        <w:rPr/>
        <w:t xml:space="preserve">Lighting: Provide permanent lighting or if not in place, simulate permanent lighting conditions during flooring application.</w:t>
      </w:r>
    </w:p>
    <w:bookmarkEnd w:id="226"/>
    <w:bookmarkStart w:name="f-28943-5" w:id="228"/>
    <w:p>
      <w:pPr>
        <w:pStyle w:val="Heading4"/>
      </w:pPr>
      <w:bookmarkStart w:name="h-28943-5" w:id="229"/>
      <w:r>
        <w:rPr/>
        <w:t xml:space="preserve">Protection</w:t>
      </w:r>
      <w:bookmarkEnd w:id="229"/>
    </w:p>
    <w:p>
      <w:pPr>
        <w:pStyle w:val="Body Text"/>
      </w:pPr>
      <w:r>
        <w:rPr/>
        <w:t xml:space="preserve">Adjacent surfaces: Protect adjacent surfaces by masking or other methods and maintain free of the flooring finish.</w:t>
      </w:r>
    </w:p>
    <w:p>
      <w:pPr>
        <w:pStyle w:val="Body Text"/>
      </w:pPr>
      <w:r>
        <w:rPr/>
        <w:t xml:space="preserve">Ventilation: Provide adequate ventilation and fire protection at mixing and application locations to the manufacturer's recommendations including smoke, spark and flame prohibition.</w:t>
      </w:r>
    </w:p>
    <w:p>
      <w:pPr>
        <w:pStyle w:val="Body Text"/>
      </w:pPr>
      <w:r>
        <w:rPr/>
        <w:t xml:space="preserve">Finished installation: Prevent exposure to traffic, water and chemicals until flooring is fully cured.</w:t>
      </w:r>
    </w:p>
    <w:bookmarkEnd w:id="228"/>
    <w:bookmarkStart w:name="f-28943-6" w:id="230"/>
    <w:p>
      <w:pPr>
        <w:pStyle w:val="Heading4"/>
      </w:pPr>
      <w:bookmarkStart w:name="h-28943-6" w:id="231"/>
      <w:r>
        <w:rPr/>
        <w:t xml:space="preserve">Removal of fixtures and fittings</w:t>
      </w:r>
      <w:bookmarkEnd w:id="231"/>
    </w:p>
    <w:p>
      <w:pPr>
        <w:pStyle w:val="Body Text"/>
      </w:pPr>
      <w:r>
        <w:rPr/>
        <w:t xml:space="preserve">Fixtures: Remove door stops and other fixtures within or adjacent to the work area.</w:t>
      </w:r>
    </w:p>
    <w:p>
      <w:pPr>
        <w:pStyle w:val="Body Text"/>
      </w:pPr>
      <w:r>
        <w:rPr/>
        <w:t xml:space="preserve">Labelling and storage: Attach labels or mark fixtures using a non‑permanent method, identifying the location and refixing instructions, if required. Store and protect against damage.</w:t>
      </w:r>
    </w:p>
    <w:p>
      <w:pPr>
        <w:pStyle w:val="Body Text"/>
      </w:pPr>
      <w:r>
        <w:rPr/>
        <w:t xml:space="preserve">Difficult to remove fixtures: If removal is impractical, apply surface protection before substrate preparation.</w:t>
      </w:r>
    </w:p>
    <w:bookmarkEnd w:id="230"/>
    <w:bookmarkStart w:name="f-28943-7" w:id="232"/>
    <w:p>
      <w:pPr>
        <w:pStyle w:val="Heading3"/>
      </w:pPr>
      <w:bookmarkStart w:name="h-28943-7" w:id="233"/>
      <w:r>
        <w:rPr/>
        <w:t xml:space="preserve">SUBSTRATE PREPARATION</w:t>
      </w:r>
      <w:bookmarkEnd w:id="233"/>
    </w:p>
    <w:bookmarkEnd w:id="232"/>
    <w:bookmarkStart w:name="f-28943-8" w:id="234"/>
    <w:p>
      <w:pPr>
        <w:pStyle w:val="Heading4"/>
      </w:pPr>
      <w:bookmarkStart w:name="h-28943-8" w:id="235"/>
      <w:r>
        <w:rPr/>
        <w:t xml:space="preserve">Condition</w:t>
      </w:r>
      <w:bookmarkEnd w:id="235"/>
    </w:p>
    <w:p>
      <w:pPr>
        <w:pStyle w:val="Body Text"/>
      </w:pPr>
      <w:r>
        <w:rPr/>
        <w:t xml:space="preserve">Requirement: Make sure substrate is sound, clean and free of any deposit or finish, including laitance, efflorescence, curing compounds, sealers, paints, protective coatings, old adhesives, dirt, wax and grease, which may impair bonding or is incompatible with the floor coating.</w:t>
      </w:r>
    </w:p>
    <w:p>
      <w:pPr>
        <w:pStyle w:val="Body Text"/>
      </w:pPr>
      <w:r>
        <w:rPr/>
        <w:t xml:space="preserve">Concrete surface: Cured for at least 28 days, reached a minimum compressive strength of 25 MPa and free of water for at least 7 days.</w:t>
      </w:r>
    </w:p>
    <w:p>
      <w:pPr>
        <w:pStyle w:val="Instructions"/>
      </w:pPr>
      <w:r>
        <w:rPr/>
        <w:t xml:space="preserve">If a levelling screed is applied, edit text to allow for curing of the concrete and the screed.</w:t>
      </w:r>
    </w:p>
    <w:p>
      <w:pPr>
        <w:pStyle w:val="Body Text"/>
      </w:pPr>
      <w:r>
        <w:rPr/>
        <w:t xml:space="preserve">Concrete substrate porosity: Do not start installation until porosity testing to </w:t>
      </w:r>
      <w:r>
        <w:rPr>
          <w:b/>
        </w:rPr>
        <w:t xml:space="preserve">TESTING</w:t>
      </w:r>
      <w:r>
        <w:rPr/>
        <w:t xml:space="preserve">, </w:t>
      </w:r>
      <w:r>
        <w:rPr>
          <w:b/>
        </w:rPr>
        <w:t xml:space="preserve">Substrate porosity tests</w:t>
      </w:r>
      <w:r>
        <w:rPr/>
        <w:t xml:space="preserve">, has been completed and indicates that surface is sufficiently porous. If test results indicate substrate is not sufficiently porous, further thorough treatment of the substrate is required.</w:t>
      </w:r>
    </w:p>
    <w:p>
      <w:pPr>
        <w:pStyle w:val="Body Text"/>
      </w:pPr>
      <w:r>
        <w:rPr/>
        <w:t xml:space="preserve">Concrete moisture content: Do not start installation of the resin based seamless flooring until the concrete substrate has been tested to </w:t>
      </w:r>
      <w:r>
        <w:rPr>
          <w:b/>
        </w:rPr>
        <w:t xml:space="preserve">TESTING</w:t>
      </w:r>
      <w:r>
        <w:rPr/>
        <w:t xml:space="preserve">, </w:t>
      </w:r>
      <w:r>
        <w:rPr>
          <w:b/>
        </w:rPr>
        <w:t xml:space="preserve">Moisture content tests</w:t>
      </w:r>
      <w:r>
        <w:rPr/>
        <w:t xml:space="preserve"> and conforms to AS 1884 (2021) clause 3.1 and the flooring manufacturer's recommendations.</w:t>
      </w:r>
    </w:p>
    <w:p>
      <w:pPr>
        <w:pStyle w:val="Instructions"/>
      </w:pPr>
      <w:r>
        <w:rPr/>
        <w:t xml:space="preserve">Refer to NATSPEC TECHnote DES 008 on the preparation of concrete substrates. Refer also to the </w:t>
      </w:r>
      <w:r>
        <w:rPr>
          <w:i/>
        </w:rPr>
        <w:t xml:space="preserve">CCAA Data Sheet on Moisture in concrete and moisture‑sensitive finishes and coatings (2007)</w:t>
      </w:r>
      <w:r>
        <w:rPr/>
        <w:t xml:space="preserve">.</w:t>
      </w:r>
    </w:p>
    <w:p>
      <w:pPr>
        <w:pStyle w:val="Body Text"/>
      </w:pPr>
      <w:r>
        <w:rPr/>
        <w:t xml:space="preserve">Substrate alkalinity: Perform surface pH testing to </w:t>
      </w:r>
      <w:r>
        <w:rPr>
          <w:b/>
        </w:rPr>
        <w:t xml:space="preserve">TESTING</w:t>
      </w:r>
      <w:r>
        <w:rPr/>
        <w:t xml:space="preserve">, </w:t>
      </w:r>
      <w:r>
        <w:rPr>
          <w:b/>
        </w:rPr>
        <w:t xml:space="preserve">Surface pH tests</w:t>
      </w:r>
      <w:r>
        <w:rPr/>
        <w:t xml:space="preserve"> to verify the concrete pH is within the range recommended by the manufacturer.</w:t>
      </w:r>
    </w:p>
    <w:p>
      <w:pPr>
        <w:pStyle w:val="OptionalNormal"/>
      </w:pPr>
      <w:r>
        <w:rPr/>
        <w:t xml:space="preserve">Bond strength: Perform bond strength testing to </w:t>
      </w:r>
      <w:r>
        <w:rPr>
          <w:b/>
        </w:rPr>
        <w:t xml:space="preserve">TESTING</w:t>
      </w:r>
      <w:r>
        <w:rPr/>
        <w:t xml:space="preserve">, </w:t>
      </w:r>
      <w:r>
        <w:rPr>
          <w:b/>
        </w:rPr>
        <w:t xml:space="preserve">Bond strength tests</w:t>
      </w:r>
      <w:r>
        <w:rPr/>
        <w:t xml:space="preserve"> and the following:</w:t>
      </w:r>
    </w:p>
    <w:p>
      <w:pPr>
        <w:pStyle w:val="OptionalNormalIndent"/>
      </w:pPr>
      <w:r>
        <w:rPr/>
        <w:t xml:space="preserve">Cohesive bond strength of concrete substrate: Do not start application unless the concrete achieves the minimum cohesive bond strength of 1.5 N/mm</w:t>
      </w:r>
      <w:r>
        <w:rPr>
          <w:vertAlign w:val="superscript"/>
        </w:rPr>
        <w:t xml:space="preserve">2</w:t>
      </w:r>
      <w:r>
        <w:rPr/>
        <w:t xml:space="preserve">.</w:t>
      </w:r>
    </w:p>
    <w:p>
      <w:pPr>
        <w:pStyle w:val="Instructions"/>
      </w:pPr>
      <w:r>
        <w:rPr/>
        <w:t xml:space="preserve">1.5 N/mm</w:t>
      </w:r>
      <w:r>
        <w:rPr>
          <w:vertAlign w:val="superscript"/>
        </w:rPr>
        <w:t xml:space="preserve">2</w:t>
      </w:r>
      <w:r>
        <w:rPr/>
        <w:t xml:space="preserve"> is the equivalent of 1.5 MPa.</w:t>
      </w:r>
    </w:p>
    <w:p>
      <w:pPr>
        <w:pStyle w:val="OptionalNormalIndent"/>
      </w:pPr>
      <w:r>
        <w:rPr/>
        <w:t xml:space="preserve">Adhesive bond strength of primer or resin coating to substrate: If the adhesive bond strength nominated by the manufacturer is not achieved, reperform substrate preparation and retest to verify the substrate has been correctly prepared.</w:t>
      </w:r>
    </w:p>
    <w:p>
      <w:pPr>
        <w:pStyle w:val="Instructions"/>
      </w:pPr>
      <w:r>
        <w:rPr/>
        <w:t xml:space="preserve">If bond strength tests are required, include this </w:t>
      </w:r>
      <w:r>
        <w:rPr>
          <w:i/>
        </w:rPr>
        <w:t xml:space="preserve">Optional</w:t>
      </w:r>
      <w:r>
        <w:rPr/>
        <w:t xml:space="preserve"> style text by changing to </w:t>
      </w:r>
      <w:r>
        <w:rPr>
          <w:i/>
        </w:rPr>
        <w:t xml:space="preserve">Normal</w:t>
      </w:r>
      <w:r>
        <w:rPr/>
        <w:t xml:space="preserve"> style text. Also include corresponding </w:t>
      </w:r>
      <w:r>
        <w:rPr>
          <w:i/>
        </w:rPr>
        <w:t xml:space="preserve">Optional</w:t>
      </w:r>
      <w:r>
        <w:rPr/>
        <w:t xml:space="preserve"> style text in </w:t>
      </w:r>
      <w:r>
        <w:rPr>
          <w:b/>
        </w:rPr>
        <w:t xml:space="preserve">SUBMISSIONS</w:t>
      </w:r>
      <w:r>
        <w:rPr/>
        <w:t xml:space="preserve">, </w:t>
      </w:r>
      <w:r>
        <w:rPr>
          <w:b/>
        </w:rPr>
        <w:t xml:space="preserve">Tests</w:t>
      </w:r>
      <w:r>
        <w:rPr/>
        <w:t xml:space="preserve"> and </w:t>
      </w:r>
      <w:r>
        <w:rPr>
          <w:b/>
        </w:rPr>
        <w:t xml:space="preserve">TESTING</w:t>
      </w:r>
      <w:r>
        <w:rPr/>
        <w:t xml:space="preserve">.</w:t>
      </w:r>
    </w:p>
    <w:p>
      <w:pPr>
        <w:pStyle w:val="Body Text"/>
      </w:pPr>
      <w:r>
        <w:rPr/>
        <w:t xml:space="preserve">Grouts, patching materials and metal embedments: Make sure these are compatible with the resin flooring.</w:t>
      </w:r>
    </w:p>
    <w:bookmarkEnd w:id="234"/>
    <w:bookmarkStart w:name="f-28943-9" w:id="236"/>
    <w:p>
      <w:pPr>
        <w:pStyle w:val="Heading4"/>
      </w:pPr>
      <w:bookmarkStart w:name="h-28943-9" w:id="237"/>
      <w:r>
        <w:rPr/>
        <w:t xml:space="preserve">Substrate tolerances table</w:t>
      </w:r>
      <w:bookmarkEnd w:id="237"/>
    </w:p>
    <w:tbl>
      <w:tblPr>
        <w:tblStyle w:val="NATSPECTable"/>
        <w:tblW w:w="5000" w:type="pct"/>
        <w:tblLook w:firstRow="1" w:lastRow="0" w:firstColumn="0" w:lastColumn="0"/>
      </w:tblPr>
      <w:tr>
        <w:trPr>
          <w:tblHeader/>
        </w:trPr>
        <w:tc>
          <w:tcPr>
            <w:tcW w:w="34%" w:type="pct"/>
          </w:tcPr>
          <w:p>
            <w:pPr>
              <w:pStyle w:val="Tabletitle"/>
            </w:pPr>
            <w:r>
              <w:rPr/>
              <w:t xml:space="preserve">Property</w:t>
            </w:r>
          </w:p>
        </w:tc>
        <w:tc>
          <w:tcPr>
            <w:tcW w:w="33%" w:type="pct"/>
          </w:tcPr>
          <w:p>
            <w:pPr>
              <w:pStyle w:val="Tabletitle"/>
            </w:pPr>
            <w:r>
              <w:rPr/>
              <w:t xml:space="preserve">Length of straightedge laid in any direction (mm)</w:t>
            </w:r>
          </w:p>
        </w:tc>
        <w:tc>
          <w:tcPr>
            <w:tcW w:w="33%" w:type="pct"/>
          </w:tcPr>
          <w:p>
            <w:pPr>
              <w:pStyle w:val="Tabletitle"/>
            </w:pPr>
            <w:r>
              <w:rPr/>
              <w:t xml:space="preserve">Maximum deviation under the straightedge (mm)</w:t>
            </w:r>
          </w:p>
        </w:tc>
      </w:tr>
      <w:tr>
        <w:trPr/>
        <w:tc>
          <w:tcPr>
            <w:tcW w:w="34%" w:type="pct"/>
          </w:tcPr>
          <w:p>
            <w:pPr>
              <w:pStyle w:val="Tabletext"/>
            </w:pPr>
            <w:r>
              <w:rPr/>
              <w:t xml:space="preserve">Planeness</w:t>
            </w:r>
          </w:p>
        </w:tc>
        <w:tc>
          <w:tcPr>
            <w:tcW w:w="33%" w:type="pct"/>
          </w:tcPr>
          <w:p>
            <w:pPr>
              <w:pStyle w:val="Tabletext"/>
            </w:pPr>
            <w:r>
              <w:rPr/>
              <w:t xml:space="preserve">2000</w:t>
            </w:r>
          </w:p>
        </w:tc>
        <w:tc>
          <w:tcPr>
            <w:tcW w:w="33%" w:type="pct"/>
          </w:tcPr>
          <w:p>
            <w:pPr>
              <w:pStyle w:val="Tabletext"/>
            </w:pPr>
            <w:r>
              <w:rPr/>
              <w:t xml:space="preserve">4</w:t>
            </w:r>
          </w:p>
        </w:tc>
      </w:tr>
      <w:tr>
        <w:trPr/>
        <w:tc>
          <w:tcPr>
            <w:tcW w:w="34%" w:type="pct"/>
          </w:tcPr>
          <w:p>
            <w:pPr>
              <w:pStyle w:val="Tabletext"/>
            </w:pPr>
            <w:r>
              <w:rPr/>
              <w:t xml:space="preserve">Abrupt deviation tolerance</w:t>
            </w:r>
          </w:p>
        </w:tc>
        <w:tc>
          <w:tcPr>
            <w:tcW w:w="33%" w:type="pct"/>
          </w:tcPr>
          <w:p>
            <w:pPr>
              <w:pStyle w:val="Tabletext"/>
            </w:pPr>
            <w:r>
              <w:rPr/>
              <w:t xml:space="preserve">150</w:t>
            </w:r>
          </w:p>
        </w:tc>
        <w:tc>
          <w:tcPr>
            <w:tcW w:w="33%" w:type="pct"/>
          </w:tcPr>
          <w:p>
            <w:pPr>
              <w:pStyle w:val="Tabletext"/>
            </w:pPr>
            <w:r>
              <w:rPr/>
              <w:t xml:space="preserve">0.5</w:t>
            </w:r>
          </w:p>
        </w:tc>
      </w:tr>
    </w:tbl>
    <w:p>
      <w:r>
        <w:t xml:space="preserve"> </w:t>
      </w:r>
    </w:p>
    <w:p>
      <w:pPr>
        <w:pStyle w:val="Instructions"/>
      </w:pPr>
      <w:r>
        <w:rPr/>
        <w:t xml:space="preserve">Planeness tolerance class: Nominate Class A in the </w:t>
      </w:r>
      <w:r>
        <w:rPr>
          <w:b/>
        </w:rPr>
        <w:t xml:space="preserve">Flatness tolerance class table</w:t>
      </w:r>
      <w:r>
        <w:rPr/>
        <w:t xml:space="preserve"> in </w:t>
      </w:r>
      <w:r>
        <w:rPr>
          <w:i/>
        </w:rPr>
        <w:t xml:space="preserve">0315 Concrete finishes</w:t>
      </w:r>
      <w:r>
        <w:rPr/>
        <w:t xml:space="preserve"> and </w:t>
      </w:r>
      <w:r>
        <w:rPr>
          <w:b/>
        </w:rPr>
        <w:t xml:space="preserve">TOLERANCES</w:t>
      </w:r>
      <w:r>
        <w:rPr/>
        <w:t xml:space="preserve"> in </w:t>
      </w:r>
      <w:r>
        <w:rPr>
          <w:i/>
        </w:rPr>
        <w:t xml:space="preserve">0612 Cementitious toppings</w:t>
      </w:r>
      <w:r>
        <w:rPr/>
        <w:t xml:space="preserve"> for locations where resin based seamless flooring is to be installed, as appropriate for the project.</w:t>
      </w:r>
    </w:p>
    <w:bookmarkEnd w:id="236"/>
    <w:bookmarkStart w:name="f-28943-10" w:id="238"/>
    <w:p>
      <w:pPr>
        <w:pStyle w:val="Heading4"/>
      </w:pPr>
      <w:bookmarkStart w:name="h-28943-10" w:id="239"/>
      <w:r>
        <w:rPr/>
        <w:t xml:space="preserve">Substrate correction</w:t>
      </w:r>
      <w:bookmarkEnd w:id="239"/>
    </w:p>
    <w:p>
      <w:pPr>
        <w:pStyle w:val="Body Text"/>
      </w:pPr>
      <w:r>
        <w:rPr/>
        <w:t xml:space="preserve">Concrete surface cleaning and preparation: Remove contaminants by high pressure water jetting and roughen mechanically by shot blasting, planing or grinding.</w:t>
      </w:r>
    </w:p>
    <w:p>
      <w:pPr>
        <w:pStyle w:val="Body Text"/>
      </w:pPr>
      <w:r>
        <w:rPr/>
        <w:t xml:space="preserve">Concrete surface treatments: Mechanically remove by shot blasting, planing or grinding the following:</w:t>
      </w:r>
    </w:p>
    <w:p>
      <w:pPr>
        <w:pStyle w:val="NormalIndent"/>
      </w:pPr>
      <w:r>
        <w:rPr/>
        <w:t xml:space="preserve">Sealers and hardeners.</w:t>
      </w:r>
    </w:p>
    <w:p>
      <w:pPr>
        <w:pStyle w:val="NormalIndent"/>
      </w:pPr>
      <w:r>
        <w:rPr/>
        <w:t xml:space="preserve">Curing compounds.</w:t>
      </w:r>
    </w:p>
    <w:p>
      <w:pPr>
        <w:pStyle w:val="Instructions"/>
      </w:pPr>
      <w:r>
        <w:rPr/>
        <w:t xml:space="preserve">Acid etching of the concrete is not recommended as a preparation technique partly because of safety problems but also because the concrete surface is left saturated with water and calcareous salts, which may lead to debonding or osmotic blistering.</w:t>
      </w:r>
    </w:p>
    <w:p>
      <w:pPr>
        <w:pStyle w:val="Body Text"/>
      </w:pPr>
      <w:r>
        <w:rPr/>
        <w:t xml:space="preserve">Resin flooring not more than 3 mm: Remove laitance or surface sealers by grinding or light contained shot blasting. Do not remove by percussive scabbling.</w:t>
      </w:r>
    </w:p>
    <w:p>
      <w:pPr>
        <w:pStyle w:val="Body Text"/>
      </w:pPr>
      <w:r>
        <w:rPr/>
        <w:t xml:space="preserve">Precast unit surfaces: Leave as cast and wash and clean by wire brushing to remove any dirt. Do not mechanically scabble.</w:t>
      </w:r>
    </w:p>
    <w:p>
      <w:pPr>
        <w:pStyle w:val="Body Text"/>
      </w:pPr>
      <w:r>
        <w:rPr/>
        <w:t xml:space="preserve">Existing concrete substrates: Abrade and remove the uppermost cement matrix mechanically by grinding, planing or shot blasting. Repair damaged and deteriorated concrete to the resin flooring manufacturer's recommendations.</w:t>
      </w:r>
    </w:p>
    <w:p>
      <w:pPr>
        <w:pStyle w:val="Body Text"/>
      </w:pPr>
      <w:r>
        <w:rPr/>
        <w:t xml:space="preserve">Patching and filling: Remove projections and fill voids and hollows with an epoxy resin based repair mortar compatible with the seamless flooring system, to the manufacturer's recommendations.</w:t>
      </w:r>
    </w:p>
    <w:bookmarkEnd w:id="238"/>
    <w:bookmarkStart w:name="f-28943-29" w:id="240"/>
    <w:p>
      <w:pPr>
        <w:pStyle w:val="Heading3"/>
      </w:pPr>
      <w:bookmarkStart w:name="h-28943-29" w:id="241"/>
      <w:r>
        <w:rPr/>
        <w:t xml:space="preserve">TESTING</w:t>
      </w:r>
      <w:bookmarkEnd w:id="241"/>
    </w:p>
    <w:bookmarkStart w:name="f-7635" w:id="242"/>
    <w:bookmarkStart w:name="f-7635-1" w:id="243"/>
    <w:p>
      <w:pPr>
        <w:pStyle w:val="Instructions"/>
      </w:pPr>
      <w:r>
        <w:rPr>
          <w:i/>
        </w:rPr>
        <w:t xml:space="preserve">0171 General requirements</w:t>
      </w:r>
      <w:r>
        <w:rPr/>
        <w:t xml:space="preserve"> defines different tests in </w:t>
      </w:r>
      <w:r>
        <w:rPr>
          <w:b/>
        </w:rPr>
        <w:t xml:space="preserve">INTERPRETATION</w:t>
      </w:r>
      <w:r>
        <w:rPr/>
        <w:t xml:space="preserve">, </w:t>
      </w:r>
      <w:r>
        <w:rPr>
          <w:b/>
        </w:rPr>
        <w:t xml:space="preserve">Definitions</w:t>
      </w:r>
      <w:r>
        <w:rPr/>
        <w:t xml:space="preserve"> and calls for an inspection and testing plan in </w:t>
      </w:r>
      <w:r>
        <w:rPr>
          <w:b/>
        </w:rPr>
        <w:t xml:space="preserve">TESTING ‑ GENERALLY</w:t>
      </w:r>
      <w:r>
        <w:rPr/>
        <w:t xml:space="preserve">, </w:t>
      </w:r>
      <w:r>
        <w:rPr>
          <w:b/>
        </w:rPr>
        <w:t xml:space="preserve">Inspection and testing plan</w:t>
      </w:r>
      <w:r>
        <w:rPr/>
        <w:t xml:space="preserve">.</w:t>
      </w:r>
    </w:p>
    <w:bookmarkEnd w:id="243"/>
    <w:bookmarkEnd w:id="242"/>
    <w:bookmarkEnd w:id="240"/>
    <w:bookmarkStart w:name="f-28943-30" w:id="244"/>
    <w:p>
      <w:pPr>
        <w:pStyle w:val="Heading4"/>
      </w:pPr>
      <w:bookmarkStart w:name="h-28943-30" w:id="245"/>
      <w:r>
        <w:rPr/>
        <w:t xml:space="preserve">Moisture content tests</w:t>
      </w:r>
      <w:bookmarkEnd w:id="245"/>
    </w:p>
    <w:p>
      <w:pPr>
        <w:pStyle w:val="Body Text"/>
      </w:pPr>
      <w:r>
        <w:rPr/>
        <w:t xml:space="preserve">General: Test substrates for suitability for the installation of resin based seamless flooring to AS 1884 (2021) Appendix A.</w:t>
      </w:r>
    </w:p>
    <w:p>
      <w:pPr>
        <w:pStyle w:val="NormalIndent"/>
      </w:pPr>
      <w:r>
        <w:rPr/>
        <w:t xml:space="preserve">Maximum relative humidity of concrete: To AS 1884 (2021) clause A3.2.</w:t>
      </w:r>
    </w:p>
    <w:p>
      <w:pPr>
        <w:pStyle w:val="Instructions"/>
      </w:pPr>
      <w:r>
        <w:rPr/>
        <w:t xml:space="preserve">AS 1884 (2021) clause A3.2 requires concrete subfloors to not exceed 80% relative humidity. However, the note to this clause states that the manufacturer's relative humidity requirements take precedence over the requirements of the standard. AS 1884 (2021) is specific to resilient sheet and tile flooring, resin based seamless flooring manufacturers may accept less stringent testing requirements for their products. Edit if required.</w:t>
      </w:r>
    </w:p>
    <w:p>
      <w:pPr>
        <w:pStyle w:val="Instructions"/>
      </w:pPr>
      <w:r>
        <w:rPr/>
        <w:t xml:space="preserve">Testing for relative humidity is the most accurate test to understand the concrete's moisture content and involves drilling into the concrete and putting in a probe to take readings over time. It will inform if installing a moisture mitigation system is necessary, to avoid blistering, delaminating or cracking of the resin flooring due to moisture moving upward in the concrete due to osmotic or hydrostatic pressure. Repairing this drill hole after testing may involve patching with a filler.</w:t>
      </w:r>
    </w:p>
    <w:bookmarkEnd w:id="244"/>
    <w:bookmarkStart w:name="f-28943-28943.1" w:id="246"/>
    <w:p>
      <w:pPr>
        <w:pStyle w:val="Heading4"/>
      </w:pPr>
      <w:bookmarkStart w:name="h-28943-28943.1" w:id="247"/>
      <w:r>
        <w:rPr/>
        <w:t xml:space="preserve">Substrate porosity tests</w:t>
      </w:r>
      <w:bookmarkEnd w:id="247"/>
    </w:p>
    <w:p>
      <w:pPr>
        <w:pStyle w:val="Body Text"/>
      </w:pPr>
      <w:r>
        <w:rPr/>
        <w:t xml:space="preserve">General: Test concrete substrate for suitability for the installation of resin based flooring to ASTM F3191 (2026).</w:t>
      </w:r>
    </w:p>
    <w:bookmarkEnd w:id="246"/>
    <w:bookmarkStart w:name="f-28943-37" w:id="248"/>
    <w:p>
      <w:pPr>
        <w:pStyle w:val="Heading4"/>
      </w:pPr>
      <w:bookmarkStart w:name="h-28943-37" w:id="249"/>
      <w:r>
        <w:rPr/>
        <w:t xml:space="preserve">Surface pH tests</w:t>
      </w:r>
      <w:bookmarkEnd w:id="249"/>
    </w:p>
    <w:p>
      <w:pPr>
        <w:pStyle w:val="Body Text"/>
      </w:pPr>
      <w:r>
        <w:rPr/>
        <w:t xml:space="preserve">General: Test concrete subfloor for suitability for the installation of resin based flooring to AS 1884 (2021) Appendix C.</w:t>
      </w:r>
    </w:p>
    <w:p>
      <w:pPr>
        <w:pStyle w:val="NormalIndent"/>
      </w:pPr>
      <w:r>
        <w:rPr/>
        <w:t xml:space="preserve">Maximum pH: 10.</w:t>
      </w:r>
    </w:p>
    <w:p>
      <w:pPr>
        <w:pStyle w:val="Instructions"/>
      </w:pPr>
      <w:r>
        <w:rPr/>
        <w:t xml:space="preserve">Testing of pH should be carried out after any surface grinding. Freshly exposed concrete has high alkalinity and problems have been encountered overseas.</w:t>
      </w:r>
    </w:p>
    <w:bookmarkEnd w:id="248"/>
    <w:bookmarkStart w:name="f-28943-38" w:id="250"/>
    <w:p>
      <w:pPr>
        <w:pStyle w:val="OptionalHeading4"/>
      </w:pPr>
      <w:bookmarkStart w:name="h-28943-38" w:id="251"/>
      <w:r>
        <w:rPr/>
        <w:t xml:space="preserve">Bond strength tests</w:t>
      </w:r>
      <w:bookmarkEnd w:id="251"/>
    </w:p>
    <w:p>
      <w:pPr>
        <w:pStyle w:val="OptionalNormal"/>
      </w:pPr>
      <w:r>
        <w:rPr/>
        <w:t xml:space="preserve">General: Test the following:</w:t>
      </w:r>
    </w:p>
    <w:p>
      <w:pPr>
        <w:pStyle w:val="OptionalNormalIndent"/>
      </w:pPr>
      <w:r>
        <w:rPr/>
        <w:t xml:space="preserve">Cohesive bond strength of concrete substrate, as recommended by the manufacturer.</w:t>
      </w:r>
    </w:p>
    <w:p>
      <w:pPr>
        <w:pStyle w:val="OptionalNormalIndent"/>
      </w:pPr>
      <w:r>
        <w:rPr/>
        <w:t xml:space="preserve">Adhesive bond strength of primers to substrate and subsequent resin coatings, as recommended by the manufacturer.</w:t>
      </w:r>
    </w:p>
    <w:p>
      <w:pPr>
        <w:pStyle w:val="Instructions"/>
      </w:pPr>
      <w:r>
        <w:rPr/>
        <w:t xml:space="preserve">If bond strength tests are required, include this </w:t>
      </w:r>
      <w:r>
        <w:rPr>
          <w:i/>
        </w:rPr>
        <w:t xml:space="preserve">Optional</w:t>
      </w:r>
      <w:r>
        <w:rPr/>
        <w:t xml:space="preserve"> style text by changing to </w:t>
      </w:r>
      <w:r>
        <w:rPr>
          <w:i/>
        </w:rPr>
        <w:t xml:space="preserve">Normal</w:t>
      </w:r>
      <w:r>
        <w:rPr/>
        <w:t xml:space="preserve"> style text. Also include corresponding </w:t>
      </w:r>
      <w:r>
        <w:rPr>
          <w:i/>
        </w:rPr>
        <w:t xml:space="preserve">Optional</w:t>
      </w:r>
      <w:r>
        <w:rPr/>
        <w:t xml:space="preserve"> style text in </w:t>
      </w:r>
      <w:r>
        <w:rPr>
          <w:b/>
        </w:rPr>
        <w:t xml:space="preserve">SUBMISSIONS</w:t>
      </w:r>
      <w:r>
        <w:rPr/>
        <w:t xml:space="preserve">, </w:t>
      </w:r>
      <w:r>
        <w:rPr>
          <w:b/>
        </w:rPr>
        <w:t xml:space="preserve">Tests</w:t>
      </w:r>
      <w:r>
        <w:rPr/>
        <w:t xml:space="preserve"> and </w:t>
      </w:r>
      <w:r>
        <w:rPr>
          <w:b/>
        </w:rPr>
        <w:t xml:space="preserve">SUBSTRATE PREPARATION</w:t>
      </w:r>
      <w:r>
        <w:rPr/>
        <w:t xml:space="preserve">, </w:t>
      </w:r>
      <w:r>
        <w:rPr>
          <w:b/>
        </w:rPr>
        <w:t xml:space="preserve">Condition</w:t>
      </w:r>
      <w:r>
        <w:rPr/>
        <w:t xml:space="preserve">.</w:t>
      </w:r>
    </w:p>
    <w:p>
      <w:pPr>
        <w:pStyle w:val="Instructions"/>
      </w:pPr>
      <w:r>
        <w:rPr/>
        <w:t xml:space="preserve">These tests will need spot repair and patchwork afterwards. Cohesive bond strength testing indicates the capacity of the concrete substrate to resist tensile forces perpendicular to the surface. Adhesive bond strength testing indicates the capacity of the bond between the substrate and the applied product. Adhesive bond strength tests may include pull‑off tests, knife tests or cross‑cut tape tests to measure adhesion in psi, MPa or N/mm</w:t>
      </w:r>
      <w:r>
        <w:rPr>
          <w:vertAlign w:val="superscript"/>
        </w:rPr>
        <w:t xml:space="preserve">2</w:t>
      </w:r>
      <w:r>
        <w:rPr/>
        <w:t xml:space="preserve">. Manufacturers recommend various different test methods for their products. Test methods may include:</w:t>
      </w:r>
    </w:p>
    <w:p>
      <w:pPr>
        <w:pStyle w:val="Instructionsindent"/>
      </w:pPr>
      <w:r>
        <w:rPr/>
        <w:t xml:space="preserve">AS 3894.9 (2003) for pull‑off, knife and cross‑cut tape tests.</w:t>
      </w:r>
    </w:p>
    <w:p>
      <w:pPr>
        <w:pStyle w:val="Instructionsindent"/>
      </w:pPr>
      <w:r>
        <w:rPr/>
        <w:t xml:space="preserve">ASTM D3359 (2023) for tape tests.</w:t>
      </w:r>
    </w:p>
    <w:p>
      <w:pPr>
        <w:pStyle w:val="Instructionsindent"/>
      </w:pPr>
      <w:r>
        <w:rPr/>
        <w:t xml:space="preserve">ASTM D7234 (2022) for pull‑off tests.</w:t>
      </w:r>
    </w:p>
    <w:p>
      <w:pPr>
        <w:pStyle w:val="Instructions"/>
      </w:pPr>
      <w:r>
        <w:rPr/>
        <w:t xml:space="preserve">Consider also including the test method nominated by the manufacturer in </w:t>
      </w:r>
      <w:r>
        <w:rPr>
          <w:i/>
        </w:rPr>
        <w:t xml:space="preserve">Normal</w:t>
      </w:r>
      <w:r>
        <w:rPr/>
        <w:t xml:space="preserve"> style text here.</w:t>
      </w:r>
    </w:p>
    <w:bookmarkEnd w:id="250"/>
    <w:bookmarkStart w:name="f-28943-31" w:id="252"/>
    <w:p>
      <w:pPr>
        <w:pStyle w:val="Heading4"/>
      </w:pPr>
      <w:bookmarkStart w:name="h-28943-31" w:id="253"/>
      <w:r>
        <w:rPr/>
        <w:t xml:space="preserve">Slip resistance tests</w:t>
      </w:r>
      <w:bookmarkEnd w:id="253"/>
    </w:p>
    <w:p>
      <w:pPr>
        <w:pStyle w:val="Body Text"/>
      </w:pPr>
      <w:r>
        <w:rPr/>
        <w:t xml:space="preserve">Slip resistance of completed installation: To AS 4663 (2013).</w:t>
      </w:r>
    </w:p>
    <w:p>
      <w:pPr>
        <w:pStyle w:val="Instructions"/>
      </w:pPr>
      <w:r>
        <w:rPr/>
        <w:t xml:space="preserve">Site testing is expensive. Delete if not required. See NATSPEC TECHnote DES 001 on slip resistance.</w:t>
      </w:r>
    </w:p>
    <w:bookmarkEnd w:id="252"/>
    <w:bookmarkStart w:name="f-28943-11" w:id="254"/>
    <w:p>
      <w:pPr>
        <w:pStyle w:val="Heading3"/>
      </w:pPr>
      <w:bookmarkStart w:name="h-28943-11" w:id="255"/>
      <w:r>
        <w:rPr/>
        <w:t xml:space="preserve">MIXING</w:t>
      </w:r>
      <w:bookmarkEnd w:id="255"/>
    </w:p>
    <w:bookmarkEnd w:id="254"/>
    <w:bookmarkStart w:name="f-28943-12" w:id="256"/>
    <w:p>
      <w:pPr>
        <w:pStyle w:val="Heading4"/>
      </w:pPr>
      <w:bookmarkStart w:name="h-28943-12" w:id="257"/>
      <w:r>
        <w:rPr/>
        <w:t xml:space="preserve">Unfilled systems</w:t>
      </w:r>
      <w:bookmarkEnd w:id="257"/>
    </w:p>
    <w:p>
      <w:pPr>
        <w:pStyle w:val="Body Text"/>
      </w:pPr>
      <w:r>
        <w:rPr/>
        <w:t xml:space="preserve">Two component systems: Blend together with a mechanical mixer to form a homogenous mix.</w:t>
      </w:r>
    </w:p>
    <w:bookmarkEnd w:id="256"/>
    <w:bookmarkStart w:name="f-28943-13" w:id="258"/>
    <w:p>
      <w:pPr>
        <w:pStyle w:val="Heading4"/>
      </w:pPr>
      <w:bookmarkStart w:name="h-28943-13" w:id="259"/>
      <w:r>
        <w:rPr/>
        <w:t xml:space="preserve">Filled systems</w:t>
      </w:r>
      <w:bookmarkEnd w:id="259"/>
    </w:p>
    <w:p>
      <w:pPr>
        <w:pStyle w:val="Body Text"/>
      </w:pPr>
      <w:r>
        <w:rPr/>
        <w:t xml:space="preserve">Requirement: Mix mechanically to the resin flooring manufacturer's recommendations.</w:t>
      </w:r>
    </w:p>
    <w:p>
      <w:pPr>
        <w:pStyle w:val="Body Text"/>
      </w:pPr>
      <w:r>
        <w:rPr/>
        <w:t xml:space="preserve">Order of mixing: Mix liquid components first, gradually add fillers and/or aggregates while continuing to mix until fillers and/or aggregates have been wetted out by the resin.</w:t>
      </w:r>
    </w:p>
    <w:bookmarkEnd w:id="258"/>
    <w:bookmarkStart w:name="f-28943-14" w:id="260"/>
    <w:p>
      <w:pPr>
        <w:pStyle w:val="Heading3"/>
      </w:pPr>
      <w:bookmarkStart w:name="h-28943-14" w:id="261"/>
      <w:r>
        <w:rPr/>
        <w:t xml:space="preserve">APPLICATION</w:t>
      </w:r>
      <w:bookmarkEnd w:id="261"/>
    </w:p>
    <w:bookmarkEnd w:id="260"/>
    <w:bookmarkStart w:name="f-28943-15" w:id="262"/>
    <w:p>
      <w:pPr>
        <w:pStyle w:val="Heading4"/>
      </w:pPr>
      <w:bookmarkStart w:name="h-28943-15" w:id="263"/>
      <w:r>
        <w:rPr/>
        <w:t xml:space="preserve">General</w:t>
      </w:r>
      <w:bookmarkEnd w:id="263"/>
    </w:p>
    <w:p>
      <w:pPr>
        <w:pStyle w:val="Body Text"/>
      </w:pPr>
      <w:r>
        <w:rPr/>
        <w:t xml:space="preserve">Requirement: Apply components of the resin flooring system to the manufacturer's recommendations to produce a uniform, monolithic wearing surface.</w:t>
      </w:r>
    </w:p>
    <w:bookmarkEnd w:id="262"/>
    <w:bookmarkStart w:name="f-28943-40" w:id="264"/>
    <w:p>
      <w:pPr>
        <w:pStyle w:val="OptionalHeading4"/>
      </w:pPr>
      <w:bookmarkStart w:name="h-28943-40" w:id="265"/>
      <w:r>
        <w:rPr/>
        <w:t xml:space="preserve">Moisture barrier</w:t>
      </w:r>
      <w:bookmarkEnd w:id="265"/>
    </w:p>
    <w:p>
      <w:pPr>
        <w:pStyle w:val="OptionalNormal"/>
      </w:pPr>
      <w:r>
        <w:rPr/>
        <w:t xml:space="preserve">Moisture content rectification: Apply a moisture barrier to the flooring manufacturer's recommendation.</w:t>
      </w:r>
    </w:p>
    <w:p>
      <w:pPr>
        <w:pStyle w:val="Instructions"/>
      </w:pPr>
      <w:r>
        <w:rPr/>
        <w:t xml:space="preserve">If a moisture barrier or moisture suppression system is required, consider including this </w:t>
      </w:r>
      <w:r>
        <w:rPr>
          <w:i/>
        </w:rPr>
        <w:t xml:space="preserve">Optional</w:t>
      </w:r>
      <w:r>
        <w:rPr/>
        <w:t xml:space="preserve"> style text by changing to </w:t>
      </w:r>
      <w:r>
        <w:rPr>
          <w:i/>
        </w:rPr>
        <w:t xml:space="preserve">Normal</w:t>
      </w:r>
      <w:r>
        <w:rPr/>
        <w:t xml:space="preserve"> style text. Changes in the design mix of concrete, admixtures, concrete surface finishing techniques and low VOC adhesives may lead to failure of resin based seamless flooring. Consult the flooring manufacturer.</w:t>
      </w:r>
    </w:p>
    <w:bookmarkEnd w:id="264"/>
    <w:bookmarkStart w:name="f-28943-16" w:id="266"/>
    <w:p>
      <w:pPr>
        <w:pStyle w:val="Heading4"/>
      </w:pPr>
      <w:bookmarkStart w:name="h-28943-16" w:id="267"/>
      <w:r>
        <w:rPr/>
        <w:t xml:space="preserve">Priming</w:t>
      </w:r>
      <w:bookmarkEnd w:id="267"/>
    </w:p>
    <w:p>
      <w:pPr>
        <w:pStyle w:val="Body Text"/>
      </w:pPr>
      <w:r>
        <w:rPr/>
        <w:t xml:space="preserve">Coating application: Apply primer over prepared substrate at the manufacturer's recommended spreading rate with a stiff brush, roller or trowel. Fully saturate the substrate surface.</w:t>
      </w:r>
    </w:p>
    <w:p>
      <w:pPr>
        <w:pStyle w:val="Body Text"/>
      </w:pPr>
      <w:r>
        <w:rPr/>
        <w:t xml:space="preserve">Porous or open textured surfaces: If required to minimise pin holes, apply a second coat to achieve full saturation.</w:t>
      </w:r>
    </w:p>
    <w:p>
      <w:pPr>
        <w:pStyle w:val="Body Text"/>
      </w:pPr>
      <w:r>
        <w:rPr/>
        <w:t xml:space="preserve">Multilayer, flow applied and heavy duty flowable flooring: Allow primer to reach a tack‑free state before applying the resin flooring. If required to assist flooring application, incorporate a light scatter of dry graded aggregate while the primer is wet.</w:t>
      </w:r>
    </w:p>
    <w:p>
      <w:pPr>
        <w:pStyle w:val="Body Text"/>
      </w:pPr>
      <w:r>
        <w:rPr/>
        <w:t xml:space="preserve">Resin screed flooring: Allow primer to reach a semi‑set (tacky) state before applying the resin flooring.</w:t>
      </w:r>
    </w:p>
    <w:p>
      <w:pPr>
        <w:pStyle w:val="Body Text"/>
      </w:pPr>
      <w:r>
        <w:rPr/>
        <w:t xml:space="preserve">Curing: Cure for approximately 24 hours or until touch dry. If application of second coat exceeds 72 hours after prime coat application, lightly sand the existing coat prior to application. Follow the manufacturer's specific instructions for each product, as they may differ.</w:t>
      </w:r>
    </w:p>
    <w:p>
      <w:pPr>
        <w:pStyle w:val="Instructions"/>
      </w:pPr>
      <w:r>
        <w:rPr/>
        <w:t xml:space="preserve">Primers allow for a strong bond between the substrate and subsequent resin coatings to promote long‑lasting adhesion. It seals the substrate surface and prevents bubbling and peeling.</w:t>
      </w:r>
    </w:p>
    <w:bookmarkEnd w:id="266"/>
    <w:bookmarkStart w:name="f-28943-17" w:id="268"/>
    <w:p>
      <w:pPr>
        <w:pStyle w:val="Heading4"/>
      </w:pPr>
      <w:bookmarkStart w:name="h-28943-17" w:id="269"/>
      <w:r>
        <w:rPr/>
        <w:t xml:space="preserve">Perimeter edges</w:t>
      </w:r>
      <w:bookmarkEnd w:id="269"/>
    </w:p>
    <w:p>
      <w:pPr>
        <w:pStyle w:val="Body Text"/>
      </w:pPr>
      <w:r>
        <w:rPr/>
        <w:t xml:space="preserve">Integral cove edges or skirting: Apply cove skirting mix to wall surfaces and perimeter edges before applying flooring. Mask adjacent surfaces, mix, prime, trowel, sand and apply topcoat of the skirting to the manufacturer's recommendations. Round all internal and external corners.</w:t>
      </w:r>
    </w:p>
    <w:bookmarkEnd w:id="268"/>
    <w:bookmarkStart w:name="f-28943-18" w:id="270"/>
    <w:p>
      <w:pPr>
        <w:pStyle w:val="Heading4"/>
      </w:pPr>
      <w:bookmarkStart w:name="h-28943-18" w:id="271"/>
      <w:r>
        <w:rPr/>
        <w:t xml:space="preserve">Resin coatings</w:t>
      </w:r>
      <w:bookmarkEnd w:id="271"/>
    </w:p>
    <w:p>
      <w:pPr>
        <w:pStyle w:val="Body Text"/>
      </w:pPr>
      <w:r>
        <w:rPr/>
        <w:t xml:space="preserve">Floor seal, floor coating and high‑build floor coating: Apply by brush or roller to the manufacturer's recommendations.</w:t>
      </w:r>
    </w:p>
    <w:p>
      <w:pPr>
        <w:pStyle w:val="Body Text"/>
      </w:pPr>
      <w:r>
        <w:rPr/>
        <w:t xml:space="preserve">Curing: Allow first coat to cure for 16 to 24 hours until it is tack‑free before applying second coat.</w:t>
      </w:r>
    </w:p>
    <w:p>
      <w:pPr>
        <w:pStyle w:val="Instructions"/>
      </w:pPr>
      <w:r>
        <w:rPr/>
        <w:t xml:space="preserve">This does not apply to polyaspartic based coatings. Refer to manufacturer's recommendations for curing period.</w:t>
      </w:r>
    </w:p>
    <w:bookmarkEnd w:id="270"/>
    <w:bookmarkStart w:name="f-28943-19" w:id="272"/>
    <w:p>
      <w:pPr>
        <w:pStyle w:val="Heading4"/>
      </w:pPr>
      <w:bookmarkStart w:name="h-28943-19" w:id="273"/>
      <w:r>
        <w:rPr/>
        <w:t xml:space="preserve">Flow applied systems</w:t>
      </w:r>
      <w:bookmarkEnd w:id="273"/>
    </w:p>
    <w:p>
      <w:pPr>
        <w:pStyle w:val="Body Text"/>
      </w:pPr>
      <w:r>
        <w:rPr/>
        <w:t xml:space="preserve">Flow applied and heavy duty flowable flooring: Apply by spreading evenly over the surface, using a serrated trowel, pin rake or squeegee. Immediately follow by rolling with a spiked roller to release entrapped air and assist in smoothing out.</w:t>
      </w:r>
    </w:p>
    <w:p>
      <w:pPr>
        <w:pStyle w:val="Body Text"/>
      </w:pPr>
      <w:r>
        <w:rPr/>
        <w:t xml:space="preserve">Partially set or thickened areas: Do not use spiked roller on these areas.</w:t>
      </w:r>
    </w:p>
    <w:bookmarkEnd w:id="272"/>
    <w:bookmarkStart w:name="f-28943-20" w:id="274"/>
    <w:p>
      <w:pPr>
        <w:pStyle w:val="Heading4"/>
      </w:pPr>
      <w:bookmarkStart w:name="h-28943-20" w:id="275"/>
      <w:r>
        <w:rPr/>
        <w:t xml:space="preserve">Multilayer flooring</w:t>
      </w:r>
      <w:bookmarkEnd w:id="275"/>
    </w:p>
    <w:p>
      <w:pPr>
        <w:pStyle w:val="Body Text"/>
      </w:pPr>
      <w:r>
        <w:rPr/>
        <w:t xml:space="preserve">Requirement: Apply to </w:t>
      </w:r>
      <w:r>
        <w:rPr>
          <w:b/>
        </w:rPr>
        <w:t xml:space="preserve">Resin coatings</w:t>
      </w:r>
      <w:r>
        <w:rPr/>
        <w:t xml:space="preserve"> and/or </w:t>
      </w:r>
      <w:r>
        <w:rPr>
          <w:b/>
        </w:rPr>
        <w:t xml:space="preserve">Flow applied systems</w:t>
      </w:r>
      <w:r>
        <w:rPr/>
        <w:t xml:space="preserve"> to the manufacturer's recommendations.</w:t>
      </w:r>
    </w:p>
    <w:bookmarkEnd w:id="274"/>
    <w:bookmarkStart w:name="f-28943-21" w:id="276"/>
    <w:p>
      <w:pPr>
        <w:pStyle w:val="Heading4"/>
      </w:pPr>
      <w:bookmarkStart w:name="h-28943-21" w:id="277"/>
      <w:r>
        <w:rPr/>
        <w:t xml:space="preserve">Trowel applied resin flooring</w:t>
      </w:r>
      <w:bookmarkEnd w:id="277"/>
    </w:p>
    <w:p>
      <w:pPr>
        <w:pStyle w:val="Body Text"/>
      </w:pPr>
      <w:r>
        <w:rPr/>
        <w:t xml:space="preserve">Resin screed and heavy duty resin: Spread mixed product over the primed substrate by trowel, screed box, or between screeding laths or bars to achieve uniform overall thickness.</w:t>
      </w:r>
    </w:p>
    <w:p>
      <w:pPr>
        <w:pStyle w:val="Body Text"/>
      </w:pPr>
      <w:r>
        <w:rPr/>
        <w:t xml:space="preserve">Finish: Steel trowel to a uniform finish. Keep trowel clean by using a minimum amount of solvent or water.</w:t>
      </w:r>
    </w:p>
    <w:p>
      <w:pPr>
        <w:pStyle w:val="Body Text"/>
      </w:pPr>
      <w:r>
        <w:rPr/>
        <w:t xml:space="preserve">Hygienic surface: Conform to the following:</w:t>
      </w:r>
    </w:p>
    <w:p>
      <w:pPr>
        <w:pStyle w:val="NormalIndent"/>
      </w:pPr>
      <w:r>
        <w:rPr/>
        <w:t xml:space="preserve">Resin screed: If required, seal surface with one or two coats of compatible resin sealer applied by brush, roller or squeegee after the screed has cured sufficiently.</w:t>
      </w:r>
    </w:p>
    <w:p>
      <w:pPr>
        <w:pStyle w:val="NormalIndent"/>
      </w:pPr>
      <w:r>
        <w:rPr/>
        <w:t xml:space="preserve">Heavy duty resin: If an impervious screed system is used, additional resin seals are not required.</w:t>
      </w:r>
    </w:p>
    <w:bookmarkEnd w:id="276"/>
    <w:bookmarkStart w:name="f-28943-22" w:id="278"/>
    <w:p>
      <w:pPr>
        <w:pStyle w:val="Heading4"/>
      </w:pPr>
      <w:bookmarkStart w:name="h-28943-22" w:id="279"/>
      <w:r>
        <w:rPr/>
        <w:t xml:space="preserve">Reinforcement</w:t>
      </w:r>
      <w:bookmarkEnd w:id="279"/>
    </w:p>
    <w:p>
      <w:pPr>
        <w:pStyle w:val="Body Text"/>
      </w:pPr>
      <w:r>
        <w:rPr/>
        <w:t xml:space="preserve">Fibreglass fabric: If reinforcing is required to minimise problems arising from cracks or bay joints in the substrate, after applying the primer and a thin layer of resin, roll in the fibreglass fabric. Overlap the fabric by 50 mm minimum at joins and apply the final resin layer before the first layer fully hardens.</w:t>
      </w:r>
    </w:p>
    <w:bookmarkEnd w:id="278"/>
    <w:bookmarkStart w:name="f-28943-23" w:id="280"/>
    <w:p>
      <w:pPr>
        <w:pStyle w:val="Heading4"/>
      </w:pPr>
      <w:bookmarkStart w:name="h-28943-23" w:id="281"/>
      <w:r>
        <w:rPr/>
        <w:t xml:space="preserve">Curing</w:t>
      </w:r>
      <w:bookmarkEnd w:id="281"/>
    </w:p>
    <w:p>
      <w:pPr>
        <w:pStyle w:val="Body Text"/>
      </w:pPr>
      <w:r>
        <w:rPr/>
        <w:t xml:space="preserve">Finished flooring: Allow to cure to the manufacturer's recommendations before exposure to light traffic and 3 to 7 days before exposure to heavy traffic, wet cleaning or chemicals.</w:t>
      </w:r>
    </w:p>
    <w:p>
      <w:pPr>
        <w:pStyle w:val="Instructions"/>
      </w:pPr>
      <w:r>
        <w:rPr/>
        <w:t xml:space="preserve">Generally 1 to 3 days at 15°C to 20°C.</w:t>
      </w:r>
    </w:p>
    <w:p>
      <w:pPr>
        <w:pStyle w:val="Body Text"/>
      </w:pPr>
      <w:r>
        <w:rPr/>
        <w:t xml:space="preserve">Uncured resin flooring: Maintain minimum 3°C above dew point or below 75% relative humidity to reduce the risk of blooming on the floor finish.</w:t>
      </w:r>
    </w:p>
    <w:bookmarkEnd w:id="280"/>
    <w:bookmarkStart w:name="f-28943-24" w:id="282"/>
    <w:p>
      <w:pPr>
        <w:pStyle w:val="Heading3"/>
      </w:pPr>
      <w:bookmarkStart w:name="h-28943-24" w:id="283"/>
      <w:r>
        <w:rPr/>
        <w:t xml:space="preserve">JOINTS AND ACCESSORIES</w:t>
      </w:r>
      <w:bookmarkEnd w:id="283"/>
    </w:p>
    <w:p>
      <w:pPr>
        <w:pStyle w:val="Instructions"/>
      </w:pPr>
      <w:r>
        <w:rPr/>
        <w:t xml:space="preserve">At areas of heavy use, particularly with wheeled traffic, consider specifying a prototype to test for the joint product installation using the anticipated wheeled equipment.</w:t>
      </w:r>
    </w:p>
    <w:bookmarkEnd w:id="282"/>
    <w:bookmarkStart w:name="f-28943-25" w:id="284"/>
    <w:p>
      <w:pPr>
        <w:pStyle w:val="Heading4"/>
      </w:pPr>
      <w:bookmarkStart w:name="h-28943-25" w:id="285"/>
      <w:r>
        <w:rPr/>
        <w:t xml:space="preserve">Junctions</w:t>
      </w:r>
      <w:bookmarkEnd w:id="285"/>
    </w:p>
    <w:p>
      <w:pPr>
        <w:pStyle w:val="Body Text"/>
      </w:pPr>
      <w:r>
        <w:rPr/>
        <w:t xml:space="preserve">General: Finish junctions flush with adjoining surfaces. If changes of floor finish occur at doorways locate the joint on the centreline of the closed door leaf.</w:t>
      </w:r>
    </w:p>
    <w:bookmarkEnd w:id="284"/>
    <w:bookmarkStart w:name="f-28943-26" w:id="286"/>
    <w:p>
      <w:pPr>
        <w:pStyle w:val="Heading4"/>
      </w:pPr>
      <w:bookmarkStart w:name="h-28943-26" w:id="287"/>
      <w:r>
        <w:rPr/>
        <w:t xml:space="preserve">Seamless flooring junctions</w:t>
      </w:r>
      <w:bookmarkEnd w:id="287"/>
    </w:p>
    <w:p>
      <w:pPr>
        <w:pStyle w:val="Prompt"/>
      </w:pPr>
      <w:r>
        <w:rPr/>
        <w:t xml:space="preserve">Junction type: </w:t>
      </w:r>
      <w:r>
        <w:fldChar w:fldCharType="begin"/>
        <w:instrText xml:space="preserve"> MACROBUTTON  ac_OnHelp [complete/delete]</w:instrText>
        <w:fldChar w:fldCharType="separate"/>
        <w:t xml:space="preserve"> </w:t>
        <w:fldChar w:fldCharType="end"/>
      </w:r>
    </w:p>
    <w:p>
      <w:pPr>
        <w:pStyle w:val="Instructions"/>
      </w:pPr>
      <w:r>
        <w:rPr/>
        <w:t xml:space="preserve">Select from the following, or refer to details:</w:t>
      </w:r>
    </w:p>
    <w:p>
      <w:pPr>
        <w:pStyle w:val="Instructionsindent"/>
      </w:pPr>
      <w:r>
        <w:rPr/>
        <w:t xml:space="preserve">V‑joint: Form the V‑joint in the concrete base and carry the finish into the joint.</w:t>
      </w:r>
    </w:p>
    <w:p>
      <w:pPr>
        <w:pStyle w:val="Instructionsindent"/>
      </w:pPr>
      <w:r>
        <w:rPr/>
        <w:t xml:space="preserve">Overlap: Carry the finish 100 mm past the junction line to be overlapped by the adjoining finish.</w:t>
      </w:r>
    </w:p>
    <w:p>
      <w:pPr>
        <w:pStyle w:val="Instructionsindent"/>
      </w:pPr>
      <w:r>
        <w:rPr/>
        <w:t xml:space="preserve">Set‑down: Provide a set‑down for the applied finish (nominate depth).</w:t>
      </w:r>
    </w:p>
    <w:p>
      <w:pPr>
        <w:pStyle w:val="Instructionsindent"/>
      </w:pPr>
      <w:r>
        <w:rPr/>
        <w:t xml:space="preserve">Coved skirting: Extend the seamless finish over coving formed in the substrate.</w:t>
      </w:r>
    </w:p>
    <w:bookmarkEnd w:id="286"/>
    <w:bookmarkStart w:name="f-28943-27" w:id="288"/>
    <w:p>
      <w:pPr>
        <w:pStyle w:val="Heading4"/>
      </w:pPr>
      <w:bookmarkStart w:name="h-28943-27" w:id="289"/>
      <w:r>
        <w:rPr/>
        <w:t xml:space="preserve">Accessories</w:t>
      </w:r>
      <w:bookmarkEnd w:id="289"/>
    </w:p>
    <w:p>
      <w:pPr>
        <w:pStyle w:val="Prompt"/>
      </w:pPr>
      <w:r>
        <w:rPr/>
        <w:t xml:space="preserve">Accessory type: </w:t>
      </w:r>
      <w:r>
        <w:fldChar w:fldCharType="begin"/>
        <w:instrText xml:space="preserve"> MACROBUTTON  ac_OnHelp [complete/delete]</w:instrText>
        <w:fldChar w:fldCharType="separate"/>
        <w:t xml:space="preserve"> </w:t>
        <w:fldChar w:fldCharType="end"/>
      </w:r>
    </w:p>
    <w:p>
      <w:pPr>
        <w:pStyle w:val="Instructions"/>
      </w:pPr>
      <w:r>
        <w:rPr/>
        <w:t xml:space="preserve">Select from the following and include installation details, or refer to details:</w:t>
      </w:r>
    </w:p>
    <w:p>
      <w:pPr>
        <w:pStyle w:val="Instructionsindent"/>
      </w:pPr>
      <w:r>
        <w:rPr/>
        <w:t xml:space="preserve">Proprietary neoprene pattern divider strips.</w:t>
      </w:r>
    </w:p>
    <w:p>
      <w:pPr>
        <w:pStyle w:val="Instructionsindent"/>
      </w:pPr>
      <w:r>
        <w:rPr/>
        <w:t xml:space="preserve">Nosings.</w:t>
      </w:r>
    </w:p>
    <w:p>
      <w:pPr>
        <w:pStyle w:val="Instructionsindent"/>
      </w:pPr>
      <w:r>
        <w:rPr/>
        <w:t xml:space="preserve">Edge trim.</w:t>
      </w:r>
    </w:p>
    <w:p>
      <w:pPr>
        <w:pStyle w:val="Instructions"/>
      </w:pPr>
      <w:r>
        <w:rPr/>
        <w:t xml:space="preserve">For floor wastes to wet areas, consult the manufacturer for special requirements, e.g. fittings to finish flush, and coordinate with </w:t>
      </w:r>
      <w:r>
        <w:rPr>
          <w:b/>
        </w:rPr>
        <w:t xml:space="preserve">Wet area floors</w:t>
      </w:r>
      <w:r>
        <w:rPr/>
        <w:t xml:space="preserve"> in </w:t>
      </w:r>
      <w:r>
        <w:rPr>
          <w:i/>
        </w:rPr>
        <w:t xml:space="preserve">0802 Hydraulic design and install</w:t>
      </w:r>
      <w:r>
        <w:rPr/>
        <w:t xml:space="preserve">.</w:t>
      </w:r>
    </w:p>
    <w:bookmarkEnd w:id="288"/>
    <w:bookmarkStart w:name="f-28943-28" w:id="290"/>
    <w:p>
      <w:pPr>
        <w:pStyle w:val="Heading4"/>
      </w:pPr>
      <w:bookmarkStart w:name="h-28943-28" w:id="291"/>
      <w:r>
        <w:rPr/>
        <w:t xml:space="preserve">Control joints</w:t>
      </w:r>
      <w:bookmarkEnd w:id="291"/>
    </w:p>
    <w:p>
      <w:pPr>
        <w:pStyle w:val="Body Text"/>
      </w:pPr>
      <w:r>
        <w:rPr/>
        <w:t xml:space="preserve">Location: Provide control joints in resin based seamless flooring as follows:</w:t>
      </w:r>
    </w:p>
    <w:p>
      <w:pPr>
        <w:pStyle w:val="NormalIndent"/>
      </w:pPr>
      <w:r>
        <w:rPr/>
        <w:t xml:space="preserve">Over structural control joints.</w:t>
      </w:r>
    </w:p>
    <w:p>
      <w:pPr>
        <w:pStyle w:val="NormalIndent"/>
      </w:pPr>
      <w:r>
        <w:rPr/>
        <w:t xml:space="preserve">At junctions between different substrates.</w:t>
      </w:r>
    </w:p>
    <w:p>
      <w:pPr>
        <w:pStyle w:val="Body Text"/>
      </w:pPr>
      <w:r>
        <w:rPr/>
        <w:t xml:space="preserve">Flooring finish: If possible, carry the seamless finish material over the edges of the control joint in the substrate. Provide a sealant joint as follows:</w:t>
      </w:r>
    </w:p>
    <w:p>
      <w:pPr>
        <w:pStyle w:val="NormalIndent"/>
      </w:pPr>
      <w:r>
        <w:rPr/>
        <w:t xml:space="preserve">Sealant width: 6 to 25 mm.</w:t>
      </w:r>
    </w:p>
    <w:p>
      <w:pPr>
        <w:pStyle w:val="NormalIndent"/>
      </w:pPr>
      <w:r>
        <w:rPr/>
        <w:t xml:space="preserve">Sealant depth: Half the joint width, or 6 mm, whichever is the greater.</w:t>
      </w:r>
    </w:p>
    <w:p>
      <w:pPr>
        <w:pStyle w:val="Instructions"/>
      </w:pPr>
      <w:r>
        <w:rPr/>
        <w:t xml:space="preserve">Refer to the manufacturer's literature and edit as appropriate.</w:t>
      </w:r>
    </w:p>
    <w:p>
      <w:pPr>
        <w:pStyle w:val="NormalIndent"/>
      </w:pPr>
      <w:r>
        <w:rPr/>
        <w:t xml:space="preserve">Sealant: One‑part, flexible, abrasion resistant sealant applied over a backing rod. Finish flush with the seamless flooring surface.</w:t>
      </w:r>
    </w:p>
    <w:p>
      <w:pPr>
        <w:pStyle w:val="NormalIndent"/>
      </w:pPr>
      <w:r>
        <w:rPr/>
        <w:t xml:space="preserve">Floors: Trafficable, shore hardness greater than 35A.</w:t>
      </w:r>
    </w:p>
    <w:p>
      <w:pPr>
        <w:pStyle w:val="NormalIndent"/>
      </w:pPr>
      <w:r>
        <w:rPr/>
        <w:t xml:space="preserve">Backing rod: Compressible closed cell polyethylene foam with a bond breaking surface.</w:t>
      </w:r>
    </w:p>
    <w:bookmarkEnd w:id="290"/>
    <w:bookmarkStart w:name="f-28943-32" w:id="292"/>
    <w:p>
      <w:pPr>
        <w:pStyle w:val="Heading3"/>
      </w:pPr>
      <w:bookmarkStart w:name="h-28943-32" w:id="293"/>
      <w:r>
        <w:rPr/>
        <w:t xml:space="preserve">COMPLETION</w:t>
      </w:r>
      <w:bookmarkEnd w:id="293"/>
    </w:p>
    <w:bookmarkEnd w:id="292"/>
    <w:bookmarkStart w:name="f-28943-33" w:id="294"/>
    <w:p>
      <w:pPr>
        <w:pStyle w:val="Heading4"/>
      </w:pPr>
      <w:bookmarkStart w:name="h-28943-33" w:id="295"/>
      <w:r>
        <w:rPr/>
        <w:t xml:space="preserve">Reinstatement</w:t>
      </w:r>
      <w:bookmarkEnd w:id="295"/>
    </w:p>
    <w:p>
      <w:pPr>
        <w:pStyle w:val="Body Text"/>
      </w:pPr>
      <w:r>
        <w:rPr/>
        <w:t xml:space="preserve">Extent: Repair or replace faulty or damaged work. If the work cannot be repaired satisfactorily, replace the whole area affected.</w:t>
      </w:r>
    </w:p>
    <w:bookmarkEnd w:id="294"/>
    <w:bookmarkStart w:name="f-28943-34" w:id="296"/>
    <w:p>
      <w:pPr>
        <w:pStyle w:val="Heading4"/>
      </w:pPr>
      <w:bookmarkStart w:name="h-28943-34" w:id="297"/>
      <w:r>
        <w:rPr/>
        <w:t xml:space="preserve">Removed fixtures and fittings</w:t>
      </w:r>
      <w:bookmarkEnd w:id="297"/>
    </w:p>
    <w:p>
      <w:pPr>
        <w:pStyle w:val="Body Text"/>
      </w:pPr>
      <w:r>
        <w:rPr/>
        <w:t xml:space="preserve">Requirement: Reinstall undamaged hardware and fittings on completion of the installation.</w:t>
      </w:r>
    </w:p>
    <w:bookmarkEnd w:id="296"/>
    <w:bookmarkStart w:name="f-28943-42" w:id="298"/>
    <w:p>
      <w:pPr>
        <w:pStyle w:val="Heading4"/>
      </w:pPr>
      <w:bookmarkStart w:name="h-28943-42" w:id="299"/>
      <w:r>
        <w:rPr/>
        <w:t xml:space="preserve">Cleaning</w:t>
      </w:r>
      <w:bookmarkEnd w:id="299"/>
    </w:p>
    <w:p>
      <w:pPr>
        <w:pStyle w:val="Body Text"/>
      </w:pPr>
      <w:r>
        <w:rPr/>
        <w:t xml:space="preserve">General: Do not use sealers, wax or floor polish. Routine sweeping can effectively remove dirt and loose debris. Take care using stiff bristle brooms or brushes on high gloss surfaces.</w:t>
      </w:r>
    </w:p>
    <w:p>
      <w:pPr>
        <w:pStyle w:val="Body Text"/>
      </w:pPr>
      <w:r>
        <w:rPr/>
        <w:t xml:space="preserve">Equipment: Use the following:</w:t>
      </w:r>
    </w:p>
    <w:p>
      <w:pPr>
        <w:pStyle w:val="NormalIndent"/>
      </w:pPr>
      <w:r>
        <w:rPr/>
        <w:t xml:space="preserve">Smooth surfaces: Brooms, brushes, vacuums, or microfibre mops for dust.</w:t>
      </w:r>
    </w:p>
    <w:p>
      <w:pPr>
        <w:pStyle w:val="NormalIndent"/>
      </w:pPr>
      <w:r>
        <w:rPr/>
        <w:t xml:space="preserve">Textured surfaces: A stiff broom may also be used. </w:t>
      </w:r>
    </w:p>
    <w:p>
      <w:pPr>
        <w:pStyle w:val="Body Text"/>
      </w:pPr>
      <w:r>
        <w:rPr/>
        <w:t xml:space="preserve">Product: Clean using a pH neutral cleaner or APC 600C Clean with water. Surface scratching can be reduced by using a floor polish after cleaning, such as APC 600S Shine.</w:t>
      </w:r>
    </w:p>
    <w:p>
      <w:pPr>
        <w:pStyle w:val="Body Text"/>
      </w:pPr>
      <w:r>
        <w:rPr/>
        <w:t xml:space="preserve">Spills: All spills and other chemical contaminants should be cleaned from the surface as soon as reasonably possible to reduce the possibility of staining. Conform to the APC </w:t>
      </w:r>
      <w:r>
        <w:rPr>
          <w:i/>
        </w:rPr>
        <w:t xml:space="preserve">Cleaning and care guide</w:t>
      </w:r>
      <w:r>
        <w:rPr/>
        <w:t xml:space="preserve">.</w:t>
      </w:r>
    </w:p>
    <w:bookmarkEnd w:id="298"/>
    <w:bookmarkStart w:name="f-28943-36" w:id="300"/>
    <w:p>
      <w:pPr>
        <w:pStyle w:val="Heading4"/>
      </w:pPr>
      <w:bookmarkStart w:name="h-28943-36" w:id="301"/>
      <w:r>
        <w:rPr/>
        <w:t xml:space="preserve">Operation and maintenance manuals</w:t>
      </w:r>
      <w:bookmarkEnd w:id="301"/>
    </w:p>
    <w:p>
      <w:pPr>
        <w:pStyle w:val="Body Text"/>
      </w:pPr>
      <w:r>
        <w:rPr/>
        <w:t xml:space="preserve">Requirement: Prepare a manual that includes the manufacturer's published use, care and maintenance instructions.</w:t>
      </w:r>
    </w:p>
    <w:bookmarkStart w:name="f-7476" w:id="302"/>
    <w:bookmarkStart w:name="f-7476-1" w:id="303"/>
    <w:p>
      <w:pPr>
        <w:pStyle w:val="Instructions"/>
      </w:pPr>
      <w:r>
        <w:rPr/>
        <w:t xml:space="preserve">Compliance with this subclause targets the Building Information requirement within the Minimum Expectation level of the Verification and Handover credit in Green Star Buildings (2025).</w:t>
      </w:r>
    </w:p>
    <w:bookmarkEnd w:id="303"/>
    <w:bookmarkEnd w:id="302"/>
    <w:bookmarkEnd w:id="300"/>
    <w:bookmarkStart w:name="f-28943-35" w:id="304"/>
    <w:p>
      <w:pPr>
        <w:pStyle w:val="Heading4"/>
      </w:pPr>
      <w:bookmarkStart w:name="h-28943-35" w:id="305"/>
      <w:r>
        <w:rPr/>
        <w:t xml:space="preserve">Warranties</w:t>
      </w:r>
      <w:bookmarkEnd w:id="305"/>
    </w:p>
    <w:p>
      <w:pPr>
        <w:pStyle w:val="Instructions"/>
      </w:pPr>
      <w:r>
        <w:rPr/>
        <w:t xml:space="preserve">Refer to </w:t>
      </w:r>
      <w:r>
        <w:rPr>
          <w:i/>
        </w:rPr>
        <w:t xml:space="preserve">0171 General requirements</w:t>
      </w:r>
      <w:r>
        <w:rPr/>
        <w:t xml:space="preserve"> for appropriate warranty type and the terms covered in the warranty.</w:t>
      </w:r>
    </w:p>
    <w:p>
      <w:pPr>
        <w:pStyle w:val="Instructions"/>
      </w:pPr>
      <w:r>
        <w:rPr/>
        <w:t xml:space="preserve">Selection of warranty type: Check warranty type is suitable for intended purpose for selected product or material.</w:t>
      </w:r>
    </w:p>
    <w:p>
      <w:pPr>
        <w:pStyle w:val="Body Text"/>
      </w:pPr>
      <w:r>
        <w:rPr/>
        <w:t xml:space="preserve">Type: Manufacturer's warranty.</w:t>
      </w:r>
    </w:p>
    <w:p>
      <w:pPr>
        <w:pStyle w:val="Instructions"/>
      </w:pPr>
      <w:r>
        <w:rPr/>
        <w:t xml:space="preserve">Refer to </w:t>
      </w:r>
      <w:r>
        <w:rPr>
          <w:b/>
        </w:rPr>
        <w:t xml:space="preserve">Warranty types</w:t>
      </w:r>
      <w:r>
        <w:rPr/>
        <w:t xml:space="preserve"> in </w:t>
      </w:r>
      <w:r>
        <w:rPr>
          <w:i/>
        </w:rPr>
        <w:t xml:space="preserve">0171 General requirements</w:t>
      </w:r>
      <w:r>
        <w:rPr/>
        <w:t xml:space="preserve">.</w:t>
      </w:r>
    </w:p>
    <w:p>
      <w:pPr>
        <w:pStyle w:val="Body Text"/>
      </w:pPr>
      <w:r>
        <w:rPr/>
        <w:t xml:space="preserve">Period: 2 years.</w:t>
      </w:r>
    </w:p>
    <w:p>
      <w:pPr>
        <w:pStyle w:val="Instructions"/>
      </w:pPr>
      <w:r>
        <w:rPr/>
        <w:t xml:space="preserve">Use only if warranties extending beyond the defects liability period are available for the particular system. If the warranty is in the form of separate material and installation warranties, the signatures of both manufacturer and installer are required.</w:t>
      </w:r>
    </w:p>
    <w:bookmarkEnd w:id="304"/>
    <w:bookmarkEnd w:id="219"/>
    <w:bookmarkStart w:name="f-28941" w:id="306"/>
    <w:bookmarkStart w:name="f-28941-1" w:id="307"/>
    <w:p>
      <w:pPr>
        <w:pStyle w:val="Heading2"/>
      </w:pPr>
      <w:bookmarkStart w:name="h-28941-1" w:id="308"/>
      <w:r>
        <w:rPr/>
        <w:t xml:space="preserve">SELECTIONS</w:t>
      </w:r>
      <w:bookmarkEnd w:id="308"/>
    </w:p>
    <w:bookmarkEnd w:id="307"/>
    <w:bookmarkStart w:name="f-28941-2" w:id="309"/>
    <w:bookmarkStart w:name="f-7991" w:id="310"/>
    <w:bookmarkStart w:name="f-7991-1" w:id="311"/>
    <w:p>
      <w:pPr>
        <w:pStyle w:val="Instructions"/>
      </w:pPr>
      <w:r>
        <w:rPr>
          <w:b/>
        </w:rPr>
        <w:t xml:space="preserve">Schedules</w:t>
      </w:r>
      <w:r>
        <w:rPr/>
        <w:t xml:space="preserve"> are a tool to specify properties required for products or systems. If the principal permits documentation of the product or system by proprietary name, some of the properties may be unnecessary and can be deleted. Document the product or system's location or application here and/or on the drawings with a matching project code. Refer to NATSPEC TECHnote GEN 024 for guidance on using and editing schedules.</w:t>
      </w:r>
    </w:p>
    <w:bookmarkEnd w:id="311"/>
    <w:bookmarkEnd w:id="310"/>
    <w:bookmarkEnd w:id="309"/>
    <w:bookmarkStart w:name="f-28941-3" w:id="312"/>
    <w:p>
      <w:pPr>
        <w:pStyle w:val="Heading3"/>
      </w:pPr>
      <w:bookmarkStart w:name="h-28941-3" w:id="313"/>
      <w:r>
        <w:rPr/>
        <w:t xml:space="preserve">PERFORMANCE</w:t>
      </w:r>
      <w:bookmarkEnd w:id="313"/>
    </w:p>
    <w:p>
      <w:pPr>
        <w:pStyle w:val="Instructions"/>
      </w:pPr>
      <w:r>
        <w:rPr/>
        <w:t xml:space="preserve">Factors that influence flooring system selection include the following:</w:t>
      </w:r>
    </w:p>
    <w:p>
      <w:pPr>
        <w:pStyle w:val="Instructionsindent"/>
      </w:pPr>
      <w:r>
        <w:rPr/>
        <w:t xml:space="preserve">Type and degree of traffic.</w:t>
      </w:r>
    </w:p>
    <w:p>
      <w:pPr>
        <w:pStyle w:val="Instructionsindent"/>
      </w:pPr>
      <w:r>
        <w:rPr/>
        <w:t xml:space="preserve">Temperatures to which flooring will be exposed.</w:t>
      </w:r>
    </w:p>
    <w:p>
      <w:pPr>
        <w:pStyle w:val="Instructionsindent"/>
      </w:pPr>
      <w:r>
        <w:rPr/>
        <w:t xml:space="preserve">Nature and duration of any chemical contact with the floor.</w:t>
      </w:r>
    </w:p>
    <w:p>
      <w:pPr>
        <w:pStyle w:val="Instructionsindent"/>
      </w:pPr>
      <w:r>
        <w:rPr/>
        <w:t xml:space="preserve">Wet or dry service conditions.</w:t>
      </w:r>
    </w:p>
    <w:p>
      <w:pPr>
        <w:pStyle w:val="Instructionsindent"/>
      </w:pPr>
      <w:r>
        <w:rPr/>
        <w:t xml:space="preserve">Slip resistance requirements.</w:t>
      </w:r>
    </w:p>
    <w:p>
      <w:pPr>
        <w:pStyle w:val="Instructionsindent"/>
      </w:pPr>
      <w:r>
        <w:rPr/>
        <w:t xml:space="preserve">Ease of cleaning (including hygiene requirements).</w:t>
      </w:r>
    </w:p>
    <w:p>
      <w:pPr>
        <w:pStyle w:val="Instructionsindent"/>
      </w:pPr>
      <w:r>
        <w:rPr/>
        <w:t xml:space="preserve">Moisture content of the substrate.</w:t>
      </w:r>
    </w:p>
    <w:p>
      <w:pPr>
        <w:pStyle w:val="Instructionsindent"/>
      </w:pPr>
      <w:r>
        <w:rPr/>
        <w:t xml:space="preserve">Time available for application and cure of the flooring.</w:t>
      </w:r>
    </w:p>
    <w:p>
      <w:pPr>
        <w:pStyle w:val="Instructionsindent"/>
      </w:pPr>
      <w:r>
        <w:rPr/>
        <w:t xml:space="preserve">Prevailing site conditions at time of installation.</w:t>
      </w:r>
    </w:p>
    <w:p>
      <w:pPr>
        <w:pStyle w:val="Instructionsindent"/>
      </w:pPr>
      <w:r>
        <w:rPr/>
        <w:t xml:space="preserve">Cost.</w:t>
      </w:r>
    </w:p>
    <w:bookmarkEnd w:id="312"/>
    <w:bookmarkStart w:name="f-28941-4" w:id="314"/>
    <w:p>
      <w:pPr>
        <w:pStyle w:val="Heading4"/>
      </w:pPr>
      <w:bookmarkStart w:name="h-28941-4" w:id="315"/>
      <w:r>
        <w:rPr/>
        <w:t xml:space="preserve">APC flooring performance schedule</w:t>
      </w:r>
      <w:bookmarkEnd w:id="315"/>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A</w:t>
            </w:r>
          </w:p>
        </w:tc>
        <w:tc>
          <w:tcPr>
            <w:tcW w:w="20.0%" w:type="pct"/>
          </w:tcPr>
          <w:p>
            <w:pPr>
              <w:pStyle w:val="Tabletitle"/>
            </w:pPr>
            <w:r>
              <w:rPr/>
              <w:t xml:space="preserve">B</w:t>
            </w:r>
          </w:p>
        </w:tc>
        <w:tc>
          <w:tcPr>
            <w:tcW w:w="20.0%" w:type="pct"/>
          </w:tcPr>
          <w:p>
            <w:pPr>
              <w:pStyle w:val="Tabletitle"/>
            </w:pPr>
            <w:r>
              <w:rPr/>
              <w:t xml:space="preserve">C</w:t>
            </w:r>
          </w:p>
        </w:tc>
      </w:tr>
      <w:tr>
        <w:trPr/>
        <w:tc>
          <w:tcPr>
            <w:tcW w:w="40.0%" w:type="pct"/>
          </w:tcPr>
          <w:p>
            <w:pPr>
              <w:pStyle w:val="Tabletext"/>
            </w:pPr>
            <w:r>
              <w:rPr/>
              <w:t xml:space="preserve">Minimum compressive strength (N/mm</w:t>
            </w:r>
            <w:r>
              <w:rPr>
                <w:vertAlign w:val="superscript"/>
              </w:rPr>
              <w:t xml:space="preserve">2</w:t>
            </w:r>
            <w:r>
              <w:rPr/>
              <w:t xml:space="preserv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Minimum tensile strength (N/mm</w:t>
            </w:r>
            <w:r>
              <w:rPr>
                <w:vertAlign w:val="superscript"/>
              </w:rPr>
              <w:t xml:space="preserve">2</w:t>
            </w:r>
            <w:r>
              <w:rPr/>
              <w:t xml:space="preserv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Minimum flexural modulus of elasticity (kN/mm</w:t>
            </w:r>
            <w:r>
              <w:rPr>
                <w:vertAlign w:val="superscript"/>
              </w:rPr>
              <w:t xml:space="preserve">2</w:t>
            </w:r>
            <w:r>
              <w:rPr/>
              <w:t xml:space="preserv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Impact resistance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Elongation at break (%)</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Maximum water absorption (%)</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Maximum shrinkage (%)</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Temperature resistance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Maximum indentation (mm)</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Abrasion resistance: Maximum weight loss (mg)</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Hardness (Shore D)</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Chemical resistance: Tested</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VOC emission limit (g/L)</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UV resistance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Slip resistance classification</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Critical radiant flux</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Airborne sound insulation</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Impact sound insulation</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8767" w:id="316"/>
    <w:bookmarkStart w:name="f-8767-1" w:id="317"/>
    <w:p>
      <w:pPr>
        <w:pStyle w:val="Instructions"/>
      </w:pPr>
      <w:r>
        <w:rPr/>
        <w:t xml:space="preserve">The codes in the header row of the schedule designate each application or location of the item scheduled. Edit the codes to match those in other contract documents.</w:t>
      </w:r>
    </w:p>
    <w:bookmarkEnd w:id="317"/>
    <w:bookmarkEnd w:id="316"/>
    <w:bookmarkEnd w:id="314"/>
    <w:bookmarkStart w:name="f-28941-8" w:id="318"/>
    <w:p>
      <w:pPr>
        <w:pStyle w:val="Instructions"/>
      </w:pPr>
      <w:r>
        <w:rPr/>
        <w:t xml:space="preserve">Consult APC's technical data sheets for the following properties. If using a different unit, edit the text to suit.</w:t>
      </w:r>
    </w:p>
    <w:p>
      <w:pPr>
        <w:pStyle w:val="Instructions"/>
      </w:pPr>
      <w:r>
        <w:rPr/>
        <w:t xml:space="preserve">Minimum compressive strength: e.g. 40 N/mm</w:t>
      </w:r>
      <w:r>
        <w:rPr>
          <w:vertAlign w:val="superscript"/>
        </w:rPr>
        <w:t xml:space="preserve">2</w:t>
      </w:r>
      <w:r>
        <w:rPr/>
        <w:t xml:space="preserve">, 36 N/mm</w:t>
      </w:r>
      <w:r>
        <w:rPr>
          <w:vertAlign w:val="superscript"/>
        </w:rPr>
        <w:t xml:space="preserve">2</w:t>
      </w:r>
      <w:r>
        <w:rPr/>
        <w:t xml:space="preserve">. To ASTM D695 (2026).</w:t>
      </w:r>
    </w:p>
    <w:p>
      <w:pPr>
        <w:pStyle w:val="Instructions"/>
      </w:pPr>
      <w:r>
        <w:rPr/>
        <w:t xml:space="preserve">Minimum tensile strength: e.g. 16 N/mm</w:t>
      </w:r>
      <w:r>
        <w:rPr>
          <w:vertAlign w:val="superscript"/>
        </w:rPr>
        <w:t xml:space="preserve">2</w:t>
      </w:r>
      <w:r>
        <w:rPr/>
        <w:t xml:space="preserve">, 30 N/mm</w:t>
      </w:r>
      <w:r>
        <w:rPr>
          <w:vertAlign w:val="superscript"/>
        </w:rPr>
        <w:t xml:space="preserve">2</w:t>
      </w:r>
      <w:r>
        <w:rPr/>
        <w:t xml:space="preserve">. To ASTM D638 (2022).</w:t>
      </w:r>
    </w:p>
    <w:p>
      <w:pPr>
        <w:pStyle w:val="Instructions"/>
      </w:pPr>
      <w:r>
        <w:rPr/>
        <w:t xml:space="preserve">Minimum flexural modulus of elasticity: e.g. 3.9 kN/mm</w:t>
      </w:r>
      <w:r>
        <w:rPr>
          <w:vertAlign w:val="superscript"/>
        </w:rPr>
        <w:t xml:space="preserve">2</w:t>
      </w:r>
      <w:r>
        <w:rPr/>
        <w:t xml:space="preserve">, 3 kN/mm</w:t>
      </w:r>
      <w:r>
        <w:rPr>
          <w:vertAlign w:val="superscript"/>
        </w:rPr>
        <w:t xml:space="preserve">2</w:t>
      </w:r>
      <w:r>
        <w:rPr/>
        <w:t xml:space="preserve">. To ASTM D790 (2025).</w:t>
      </w:r>
    </w:p>
    <w:p>
      <w:pPr>
        <w:pStyle w:val="Instructions"/>
      </w:pPr>
      <w:r>
        <w:rPr/>
        <w:t xml:space="preserve">Impact resistance: e.g. high, excellent. To AS 1580.406.1 (2004).</w:t>
      </w:r>
    </w:p>
    <w:p>
      <w:pPr>
        <w:pStyle w:val="Instructions"/>
      </w:pPr>
      <w:r>
        <w:rPr/>
        <w:t xml:space="preserve">Elongation at break: e.g. 7%. To ASTM D638 (2022).</w:t>
      </w:r>
    </w:p>
    <w:p>
      <w:pPr>
        <w:pStyle w:val="Instructions"/>
      </w:pPr>
      <w:r>
        <w:rPr/>
        <w:t xml:space="preserve">Maximum water absorption: e.g. 0.03%, 0.05%. To ASTM D570 (2022).</w:t>
      </w:r>
    </w:p>
    <w:p>
      <w:pPr>
        <w:pStyle w:val="Instructions"/>
      </w:pPr>
      <w:r>
        <w:rPr/>
        <w:t xml:space="preserve">Maximum shrinkage: e.g. 0.060% tested to ASTM C531 (2018).</w:t>
      </w:r>
    </w:p>
    <w:p>
      <w:pPr>
        <w:pStyle w:val="Instructions"/>
      </w:pPr>
      <w:r>
        <w:rPr/>
        <w:t xml:space="preserve">Temperature resistance: State temperature range required, e.g. From ‑5°C to 70°C (at 3 mm), from ‑12°C to +90°C (at 4 mm).</w:t>
      </w:r>
    </w:p>
    <w:p>
      <w:pPr>
        <w:pStyle w:val="Instructions"/>
      </w:pPr>
      <w:r>
        <w:rPr/>
        <w:t xml:space="preserve">Maximum indentation: e.g. 1.5 mm and no chipping, cracking or delamination.</w:t>
      </w:r>
    </w:p>
    <w:p>
      <w:pPr>
        <w:pStyle w:val="Instructions"/>
      </w:pPr>
      <w:r>
        <w:rPr/>
        <w:t xml:space="preserve">Abrasion resistance: e.g. 1200 mg loss, Taber abrasion to AS/NZS 1580.403.2 (2006).</w:t>
      </w:r>
    </w:p>
    <w:p>
      <w:pPr>
        <w:pStyle w:val="Instructions"/>
      </w:pPr>
      <w:r>
        <w:rPr/>
        <w:t xml:space="preserve">Hardness: e.g. 30, 60. To ASTM D2240 (2015).</w:t>
      </w:r>
    </w:p>
    <w:p>
      <w:pPr>
        <w:pStyle w:val="Instructions"/>
      </w:pPr>
      <w:r>
        <w:rPr/>
        <w:t xml:space="preserve">Chemical resistance: e.g. Acetic acid (10%), Spillage resistance to most dilute and concentrated organic and inorganic acids, dilute and concentrates alkalis, fats, oils and organic solvents. Select the appropriate testing standard, e.g. ASTM C267 (2020), ASTM D543 (2021) or ASTM D1308 (2020). Thinner coating types, floors seals, floor coatings and high‑build floor coatings are not recommended if chemical resistance is required.</w:t>
      </w:r>
    </w:p>
    <w:p>
      <w:pPr>
        <w:pStyle w:val="Instructions"/>
      </w:pPr>
      <w:r>
        <w:rPr/>
        <w:t xml:space="preserve">VOC emission limit: To APAS AP‑T002 (2021). e.g.</w:t>
      </w:r>
    </w:p>
    <w:p>
      <w:pPr>
        <w:pStyle w:val="Instructionsindent"/>
      </w:pPr>
      <w:r>
        <w:rPr/>
        <w:t xml:space="preserve">Primers: 0 g/L, 10 to 350 g/L, Maximum 250 g/L.</w:t>
      </w:r>
    </w:p>
    <w:p>
      <w:pPr>
        <w:pStyle w:val="Instructionsindent"/>
      </w:pPr>
      <w:r>
        <w:rPr/>
        <w:t xml:space="preserve">Floor coatings: 0 g/L, 250 to 400 g/L, Maximum 250 g/L.</w:t>
      </w:r>
    </w:p>
    <w:p>
      <w:pPr>
        <w:pStyle w:val="Instructions"/>
      </w:pPr>
      <w:r>
        <w:rPr/>
        <w:t xml:space="preserve">UV resistance: e.g. UV‑stable, light stable, resistant to fading or yellowing when exposed to UV light.</w:t>
      </w:r>
    </w:p>
    <w:p>
      <w:pPr>
        <w:pStyle w:val="Instructions"/>
      </w:pPr>
      <w:r>
        <w:rPr/>
        <w:t xml:space="preserve">Slip resistance classification: Refer to NATSPEC TECHnote DES 001, HB 197 (1999) and SA HB 198 (2014). Select the slip resistance test and classification to suit the location and application.</w:t>
      </w:r>
    </w:p>
    <w:p>
      <w:pPr>
        <w:pStyle w:val="Instructions"/>
      </w:pPr>
      <w:r>
        <w:rPr/>
        <w:t xml:space="preserve">Critical radiant flux: Include the appropriate value from BCA (2025) Table S7C3 for the building class.</w:t>
      </w:r>
    </w:p>
    <w:p>
      <w:pPr>
        <w:pStyle w:val="Instructions"/>
      </w:pPr>
      <w:r>
        <w:rPr/>
        <w:t xml:space="preserve">Airborne sound insulation: State the required rating to AS ISO 717.1 (2024) for either the weighted sound reduction index (Rw) or weighted sound reduction index with spectrum adaptation (Rw + Ctr). This rating is for a building system e.g. partition wall, of which the building element is only one component. It may be better to provide the rating in the appropriate system schedule. It is advisable to obtain the advice of an acoustic consultant on the selection of an Rw or Rw + Ctr rating for airborne sound transmission reduction. Refer to NATSPEC TECHnote DES 032 for information.</w:t>
      </w:r>
    </w:p>
    <w:p>
      <w:pPr>
        <w:pStyle w:val="Instructions"/>
      </w:pPr>
      <w:r>
        <w:rPr/>
        <w:t xml:space="preserve">Impact sound insulation: State the required rating to AS ISO 717.2 (2024) for the weighted normalised impact sound pressure level (Ln,w). This rating is for a building system of which the building element is only one component. It may be better to provide the rating in the appropriate system schedule. It is advisable to obtain the advice of an acoustic consultant on the selection of an Ln,w rating for impact sound transmission reduction. Refer to NATSPEC TECHnote DES 027 for information.</w:t>
      </w:r>
    </w:p>
    <w:bookmarkEnd w:id="318"/>
    <w:bookmarkStart w:name="f-28941-5" w:id="319"/>
    <w:p>
      <w:pPr>
        <w:pStyle w:val="Heading3"/>
      </w:pPr>
      <w:bookmarkStart w:name="h-28941-5" w:id="320"/>
      <w:r>
        <w:rPr/>
        <w:t xml:space="preserve">PRODUCTS</w:t>
      </w:r>
      <w:bookmarkEnd w:id="320"/>
    </w:p>
    <w:bookmarkEnd w:id="319"/>
    <w:bookmarkStart w:name="f-28941-6" w:id="321"/>
    <w:p>
      <w:pPr>
        <w:pStyle w:val="Heading4"/>
      </w:pPr>
      <w:bookmarkStart w:name="h-28941-6" w:id="322"/>
      <w:r>
        <w:rPr/>
        <w:t xml:space="preserve">APC resin based systems schedule</w:t>
      </w:r>
      <w:bookmarkEnd w:id="322"/>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A</w:t>
            </w:r>
          </w:p>
        </w:tc>
        <w:tc>
          <w:tcPr>
            <w:tcW w:w="20.0%" w:type="pct"/>
          </w:tcPr>
          <w:p>
            <w:pPr>
              <w:pStyle w:val="Tabletitle"/>
            </w:pPr>
            <w:r>
              <w:rPr/>
              <w:t xml:space="preserve">B</w:t>
            </w:r>
          </w:p>
        </w:tc>
        <w:tc>
          <w:tcPr>
            <w:tcW w:w="20.0%" w:type="pct"/>
          </w:tcPr>
          <w:p>
            <w:pPr>
              <w:pStyle w:val="Tabletitle"/>
            </w:pPr>
            <w:r>
              <w:rPr/>
              <w:t xml:space="preserve">C</w:t>
            </w:r>
          </w:p>
        </w:tc>
      </w:tr>
      <w:tr>
        <w:trPr/>
        <w:tc>
          <w:tcPr>
            <w:tcW w:w="40.0%" w:type="pct"/>
          </w:tcPr>
          <w:p>
            <w:pPr>
              <w:pStyle w:val="Tabletext"/>
            </w:pPr>
            <w:r>
              <w:rPr/>
              <w:t xml:space="preserve">System name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System finish</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Prime coat product</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Base coat product</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Broadcast</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Entrapment coat product</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UV top coat product</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Colour</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Additive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Surface regularity</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2_8767" w:id="323"/>
    <w:bookmarkStart w:name="f-2_8767-1" w:id="324"/>
    <w:p>
      <w:pPr>
        <w:pStyle w:val="Instructions"/>
      </w:pPr>
      <w:r>
        <w:rPr/>
        <w:t xml:space="preserve">The codes in the header row of the schedule designate each application or location of the item scheduled. Edit the codes to match those in other contract documents.</w:t>
      </w:r>
    </w:p>
    <w:bookmarkEnd w:id="324"/>
    <w:bookmarkEnd w:id="323"/>
    <w:p>
      <w:pPr>
        <w:pStyle w:val="Instructions"/>
      </w:pPr>
      <w:r>
        <w:rPr/>
        <w:t xml:space="preserve">Consult APC system literature for each system to ascertain the available options. Remove any rows not required for the system selected or add additional rows as required. E.g. if multiple UV top coats are required.</w:t>
      </w:r>
    </w:p>
    <w:p>
      <w:pPr>
        <w:pStyle w:val="Instructions"/>
      </w:pPr>
      <w:r>
        <w:rPr/>
        <w:t xml:space="preserve">System name: Nominate required system. e.g. APC Ultra Flake, APC Metallic Marble. Refer to </w:t>
      </w:r>
      <w:r>
        <w:rPr>
          <w:b/>
        </w:rPr>
        <w:t xml:space="preserve">APC RESIN BASED SYSTEMS</w:t>
      </w:r>
      <w:r>
        <w:rPr/>
        <w:t xml:space="preserve">.</w:t>
      </w:r>
    </w:p>
    <w:p>
      <w:pPr>
        <w:pStyle w:val="Instructions"/>
      </w:pPr>
      <w:r>
        <w:rPr/>
        <w:t xml:space="preserve">System finish: Nominate required system finish. e.g. Essential, Diamond, Matte.</w:t>
      </w:r>
    </w:p>
    <w:p>
      <w:pPr>
        <w:pStyle w:val="Instructions"/>
      </w:pPr>
      <w:r>
        <w:rPr/>
        <w:t xml:space="preserve">Broadcast: Nominate required material. e.g. Nano Ultra Flake, Large Ultra Flake, Basalt. For APC Metallic Marble System replace with Metallic marble coat. For APC Swirl Coat System replace with Swirl coat.</w:t>
      </w:r>
    </w:p>
    <w:p>
      <w:pPr>
        <w:pStyle w:val="Instructions"/>
      </w:pPr>
      <w:r>
        <w:rPr/>
        <w:t xml:space="preserve">Colour: Include colour name and number or refer to a manufacturer's selection code. May be single uniform or with decorative effects. Some products such as lighter coloured epoxy products are prone to yellowing when exposed to UV light. E.g. Almond (S) on Y56 Merino Base.</w:t>
      </w:r>
    </w:p>
    <w:p>
      <w:pPr>
        <w:pStyle w:val="Instructions"/>
      </w:pPr>
      <w:r>
        <w:rPr/>
        <w:t xml:space="preserve">Additive: Nominate if an additive is required. e.g. APC 200Q Quartz Shield, APC RTHICK.</w:t>
      </w:r>
    </w:p>
    <w:p>
      <w:pPr>
        <w:pStyle w:val="Instructions"/>
      </w:pPr>
      <w:r>
        <w:rPr/>
        <w:t xml:space="preserve">Surface regularity: Select the surface regularity class from the </w:t>
      </w:r>
      <w:r>
        <w:rPr>
          <w:b/>
        </w:rPr>
        <w:t xml:space="preserve">Surface regularity for wearing surface table</w:t>
      </w:r>
      <w:r>
        <w:rPr/>
        <w:t xml:space="preserve">.</w:t>
      </w:r>
    </w:p>
    <w:bookmarkEnd w:id="321"/>
    <w:bookmarkStart w:name="f-28941-7" w:id="325"/>
    <w:bookmarkStart w:name="f-23125" w:id="326"/>
    <w:bookmarkStart w:name="f-23125-1" w:id="327"/>
    <w:p>
      <w:pPr>
        <w:pStyle w:val="Heading4"/>
      </w:pPr>
      <w:bookmarkStart w:name="h-23125-1" w:id="328"/>
      <w:r>
        <w:rPr/>
        <w:t xml:space="preserve">Tactile ground surface indicators schedule</w:t>
      </w:r>
      <w:bookmarkEnd w:id="328"/>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A</w:t>
            </w:r>
          </w:p>
        </w:tc>
        <w:tc>
          <w:tcPr>
            <w:tcW w:w="20.0%" w:type="pct"/>
          </w:tcPr>
          <w:p>
            <w:pPr>
              <w:pStyle w:val="Tabletitle"/>
            </w:pPr>
            <w:r>
              <w:rPr/>
              <w:t xml:space="preserve">B</w:t>
            </w:r>
          </w:p>
        </w:tc>
        <w:tc>
          <w:tcPr>
            <w:tcW w:w="20.0%" w:type="pct"/>
          </w:tcPr>
          <w:p>
            <w:pPr>
              <w:pStyle w:val="Tabletitle"/>
            </w:pPr>
            <w:r>
              <w:rPr/>
              <w:t xml:space="preserve">C</w:t>
            </w:r>
          </w:p>
        </w:tc>
      </w:tr>
      <w:tr>
        <w:trPr/>
        <w:tc>
          <w:tcPr>
            <w:tcW w:w="40.0%" w:type="pct"/>
          </w:tcPr>
          <w:p>
            <w:pPr>
              <w:pStyle w:val="Tabletext"/>
            </w:pPr>
            <w:r>
              <w:rPr/>
              <w:t xml:space="preserve">Product</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Type</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Edge protector</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Material</w:t>
            </w:r>
          </w:p>
        </w:tc>
        <w:tc>
          <w:tcPr>
            <w:tcW w:w="20.0%" w:type="pct"/>
          </w:tcPr>
          <w:p>
            <w:pPr>
              <w:pStyle w:val="Tabletext"/>
            </w:pPr>
          </w:p>
        </w:tc>
        <w:tc>
          <w:tcPr>
            <w:tcW w:w="20.0%" w:type="pct"/>
          </w:tcPr>
          <w:p>
            <w:pPr>
              <w:pStyle w:val="Tabletext"/>
            </w:pPr>
          </w:p>
        </w:tc>
        <w:tc>
          <w:tcPr>
            <w:tcW w:w="20.0%" w:type="pct"/>
          </w:tcPr>
          <w:p>
            <w:pPr>
              <w:pStyle w:val="Tabletext"/>
            </w:pPr>
          </w:p>
        </w:tc>
      </w:tr>
      <w:tr>
        <w:trPr/>
        <w:tc>
          <w:tcPr>
            <w:tcW w:w="40.0%" w:type="pct"/>
          </w:tcPr>
          <w:p>
            <w:pPr>
              <w:pStyle w:val="Tabletext"/>
            </w:pPr>
            <w:r>
              <w:rPr/>
              <w:t xml:space="preserve">Colour</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p>
      <w:pPr>
        <w:pStyle w:val="Instructions"/>
      </w:pPr>
      <w:r>
        <w:rPr/>
        <w:t xml:space="preserve">The codes in the header row of the schedule designate each application or location of the item scheduled. Edit the codes to match those in other contract documents.</w:t>
      </w:r>
    </w:p>
    <w:p>
      <w:pPr>
        <w:pStyle w:val="Instructions"/>
      </w:pPr>
      <w:r>
        <w:rPr/>
        <w:t xml:space="preserve">Product: Refer to manufacturer's range. Many of the following items in the schedule may not be required if the product identification is sufficient. Delete any items below if sufficiently covered by the product details nominated here.</w:t>
      </w:r>
    </w:p>
    <w:p>
      <w:pPr>
        <w:pStyle w:val="Instructions"/>
      </w:pPr>
      <w:r>
        <w:rPr/>
        <w:t xml:space="preserve">Type: e.g. Directional, warning, integrated. Both warning and directional indicators may be required.</w:t>
      </w:r>
    </w:p>
    <w:p>
      <w:pPr>
        <w:pStyle w:val="Instructions"/>
      </w:pPr>
      <w:r>
        <w:rPr/>
        <w:t xml:space="preserve">Edge protector: e.g. Button bevelled, button round, bar thin, bar thick.</w:t>
      </w:r>
    </w:p>
    <w:p>
      <w:pPr>
        <w:pStyle w:val="Instructions"/>
      </w:pPr>
      <w:r>
        <w:rPr/>
        <w:t xml:space="preserve">Material: e.g. Porcelain, stainless steel, thermoplastic urethane injection moulded (TPU), rubber. Refer to manufacturer.</w:t>
      </w:r>
    </w:p>
    <w:p>
      <w:pPr>
        <w:pStyle w:val="Instructions"/>
      </w:pPr>
      <w:r>
        <w:rPr/>
        <w:t xml:space="preserve">Colour: A colour contrast is required, in both wet and dry conditions, between the tactile indicators and the adjacent surface and that the colour provides a luminance contrast to the surrounding surface to AS/NZS 1428.4.1 (2009) Appendix E. Refer to manufacturer's range. The NCC cites AS 1428.4 (1992) and AS/NZS 1428.4.1 (2009). The current edition is AS/NZS 1428.4.1 (2009).</w:t>
      </w:r>
    </w:p>
    <w:bookmarkEnd w:id="327"/>
    <w:bookmarkEnd w:id="326"/>
    <w:bookmarkEnd w:id="325"/>
    <w:bookmarkEnd w:id="306"/>
    <w:bookmarkEnd w:id="24"/>
    <w:bookmarkStart w:name="f-28944-bibliography" w:id="329"/>
    <w:bookmarkStart w:name="f-28942" w:id="330"/>
    <w:bookmarkStart w:name="f-28942-1" w:id="331"/>
    <w:p>
      <w:pPr>
        <w:pStyle w:val="InstructionsHeading4"/>
      </w:pPr>
      <w:bookmarkStart w:name="h-28942-1" w:id="332"/>
      <w:r>
        <w:rPr/>
        <w:t xml:space="preserve">REFERENCED DOCUMENTS</w:t>
      </w:r>
      <w:bookmarkEnd w:id="332"/>
    </w:p>
    <w:bookmarkEnd w:id="331"/>
    <w:p>
      <w:pPr>
        <w:pStyle w:val="Instructions"/>
      </w:pPr>
      <w:r>
        <w:rPr>
          <w:b/>
        </w:rPr>
        <w:t xml:space="preserve">The following documents are incorporated into this worksection by reference:</w:t>
      </w:r>
    </w:p>
    <w:bookmarkStart w:name="f-28942-10_01428_000-000" w:id="333"/>
    <w:p>
      <w:pPr>
        <w:pStyle w:val="Standard1"/>
      </w:pPr>
      <w:r>
        <w:rPr/>
        <w:t xml:space="preserve">AS 1428</w:t>
      </w:r>
      <w:r>
        <w:tab/>
      </w:r>
      <w:r>
        <w:tab/>
      </w:r>
      <w:r>
        <w:rPr/>
        <w:t xml:space="preserve">Design for access and mobility</w:t>
      </w:r>
    </w:p>
    <w:bookmarkEnd w:id="333"/>
    <w:bookmarkStart w:name="f-28942-10_01428_004-001_2009" w:id="334"/>
    <w:p>
      <w:pPr>
        <w:pStyle w:val="Standard2"/>
      </w:pPr>
      <w:r>
        <w:rPr/>
        <w:t xml:space="preserve">AS/NZS 1428.4.1</w:t>
      </w:r>
      <w:r>
        <w:tab/>
      </w:r>
      <w:r>
        <w:rPr/>
        <w:t xml:space="preserve">2009</w:t>
      </w:r>
      <w:r>
        <w:tab/>
      </w:r>
      <w:r>
        <w:rPr/>
        <w:t xml:space="preserve">Means to assist the orientation of people with vision impairment - Tactile ground surface indicators</w:t>
      </w:r>
    </w:p>
    <w:bookmarkEnd w:id="334"/>
    <w:bookmarkStart w:name="f-28942-10_01884_000-000_2021" w:id="335"/>
    <w:p>
      <w:pPr>
        <w:pStyle w:val="Standard1"/>
      </w:pPr>
      <w:r>
        <w:rPr/>
        <w:t xml:space="preserve">AS 1884</w:t>
      </w:r>
      <w:r>
        <w:tab/>
      </w:r>
      <w:r>
        <w:rPr/>
        <w:t xml:space="preserve">2021</w:t>
      </w:r>
      <w:r>
        <w:tab/>
      </w:r>
      <w:r>
        <w:rPr/>
        <w:t xml:space="preserve">Floor coverings - Resilient sheet and tiles - Installation practices</w:t>
      </w:r>
    </w:p>
    <w:bookmarkEnd w:id="335"/>
    <w:bookmarkStart w:name="f-28942-10_04663_000-000_2013" w:id="336"/>
    <w:p>
      <w:pPr>
        <w:pStyle w:val="Standard1"/>
      </w:pPr>
      <w:r>
        <w:rPr/>
        <w:t xml:space="preserve">AS 4663</w:t>
      </w:r>
      <w:r>
        <w:tab/>
      </w:r>
      <w:r>
        <w:rPr/>
        <w:t xml:space="preserve">2013</w:t>
      </w:r>
      <w:r>
        <w:tab/>
      </w:r>
      <w:r>
        <w:rPr/>
        <w:t xml:space="preserve">Slip resistance measurement of existing pedestrian surfaces</w:t>
      </w:r>
    </w:p>
    <w:bookmarkEnd w:id="336"/>
    <w:bookmarkStart w:name="f-28942-10_09239_000-000" w:id="337"/>
    <w:p>
      <w:pPr>
        <w:pStyle w:val="Standard1"/>
      </w:pPr>
      <w:r>
        <w:rPr/>
        <w:t xml:space="preserve">AS ISO 9239</w:t>
      </w:r>
      <w:r>
        <w:tab/>
      </w:r>
      <w:r>
        <w:tab/>
      </w:r>
      <w:r>
        <w:rPr/>
        <w:t xml:space="preserve">Reaction to fire tests for floor coverings</w:t>
      </w:r>
    </w:p>
    <w:bookmarkEnd w:id="337"/>
    <w:bookmarkStart w:name="f-28942-10_09239_001-000_2003" w:id="338"/>
    <w:p>
      <w:pPr>
        <w:pStyle w:val="Standard2"/>
      </w:pPr>
      <w:r>
        <w:rPr/>
        <w:t xml:space="preserve">AS ISO 9239.1</w:t>
      </w:r>
      <w:r>
        <w:tab/>
      </w:r>
      <w:r>
        <w:rPr/>
        <w:t xml:space="preserve">2003</w:t>
      </w:r>
      <w:r>
        <w:tab/>
      </w:r>
      <w:r>
        <w:rPr/>
        <w:t xml:space="preserve">Determination of the burning behaviour using a radiant heat source</w:t>
      </w:r>
    </w:p>
    <w:bookmarkEnd w:id="338"/>
    <w:bookmarkStart w:name="f-28942-50_ASTM_F3191_000000_2026" w:id="339"/>
    <w:p>
      <w:pPr>
        <w:pStyle w:val="Standard1"/>
      </w:pPr>
      <w:r>
        <w:rPr/>
        <w:t xml:space="preserve">ASTM F3191</w:t>
      </w:r>
      <w:r>
        <w:tab/>
      </w:r>
      <w:r>
        <w:rPr/>
        <w:t xml:space="preserve">2026</w:t>
      </w:r>
      <w:r>
        <w:tab/>
      </w:r>
      <w:r>
        <w:rPr/>
        <w:t xml:space="preserve">Standard practice for field determination of substrate water absorption (porosity) for substrates to receive resilient flooring</w:t>
      </w:r>
    </w:p>
    <w:bookmarkEnd w:id="339"/>
    <w:p>
      <w:pPr>
        <w:pStyle w:val="Instructions"/>
      </w:pPr>
      <w:r>
        <w:rPr>
          <w:b/>
        </w:rPr>
        <w:t xml:space="preserve">The following documents are mentioned only in the </w:t>
      </w:r>
      <w:r>
        <w:rPr>
          <w:b/>
          <w:i/>
        </w:rPr>
        <w:t xml:space="preserve">Guidance</w:t>
      </w:r>
      <w:r>
        <w:rPr>
          <w:b/>
        </w:rPr>
        <w:t xml:space="preserve"> text:</w:t>
      </w:r>
    </w:p>
    <w:bookmarkStart w:name="f-28942-10_00717_000-000" w:id="340"/>
    <w:p>
      <w:pPr>
        <w:pStyle w:val="Standard1"/>
      </w:pPr>
      <w:r>
        <w:rPr/>
        <w:t xml:space="preserve">AS ISO 717</w:t>
      </w:r>
      <w:r>
        <w:tab/>
      </w:r>
      <w:r>
        <w:tab/>
      </w:r>
      <w:r>
        <w:rPr/>
        <w:t xml:space="preserve">Acoustics - Rating of sound insulation in buildings and of building elements</w:t>
      </w:r>
    </w:p>
    <w:bookmarkEnd w:id="340"/>
    <w:bookmarkStart w:name="f-28942-10_00717_001-000_2024" w:id="341"/>
    <w:p>
      <w:pPr>
        <w:pStyle w:val="Standard2"/>
      </w:pPr>
      <w:r>
        <w:rPr/>
        <w:t xml:space="preserve">AS ISO 717.1</w:t>
      </w:r>
      <w:r>
        <w:tab/>
      </w:r>
      <w:r>
        <w:rPr/>
        <w:t xml:space="preserve">2024</w:t>
      </w:r>
      <w:r>
        <w:tab/>
      </w:r>
      <w:r>
        <w:rPr/>
        <w:t xml:space="preserve">Airborne sound insulation</w:t>
      </w:r>
    </w:p>
    <w:bookmarkEnd w:id="341"/>
    <w:bookmarkStart w:name="f-28942-10_00717_002-000_2024" w:id="342"/>
    <w:p>
      <w:pPr>
        <w:pStyle w:val="Standard2"/>
      </w:pPr>
      <w:r>
        <w:rPr/>
        <w:t xml:space="preserve">AS ISO 717.2</w:t>
      </w:r>
      <w:r>
        <w:tab/>
      </w:r>
      <w:r>
        <w:rPr/>
        <w:t xml:space="preserve">2024</w:t>
      </w:r>
      <w:r>
        <w:tab/>
      </w:r>
      <w:r>
        <w:rPr/>
        <w:t xml:space="preserve">Impact sound insulation</w:t>
      </w:r>
    </w:p>
    <w:bookmarkEnd w:id="342"/>
    <w:bookmarkStart w:name="f-28942-=10_01428_000-000" w:id="343"/>
    <w:p>
      <w:pPr>
        <w:pStyle w:val="Standard1"/>
      </w:pPr>
      <w:r>
        <w:rPr/>
        <w:t xml:space="preserve">AS 1428</w:t>
      </w:r>
      <w:r>
        <w:tab/>
      </w:r>
      <w:r>
        <w:tab/>
      </w:r>
      <w:r>
        <w:rPr/>
        <w:t xml:space="preserve">Design for access and mobility</w:t>
      </w:r>
    </w:p>
    <w:bookmarkEnd w:id="343"/>
    <w:bookmarkStart w:name="f-28942-10_01428_004-000_1992" w:id="344"/>
    <w:p>
      <w:pPr>
        <w:pStyle w:val="Standard2"/>
      </w:pPr>
      <w:r>
        <w:rPr/>
        <w:t xml:space="preserve">AS 1428.4</w:t>
      </w:r>
      <w:r>
        <w:tab/>
      </w:r>
      <w:r>
        <w:rPr/>
        <w:t xml:space="preserve">1992</w:t>
      </w:r>
      <w:r>
        <w:tab/>
      </w:r>
      <w:r>
        <w:rPr/>
        <w:t xml:space="preserve">Tactile ground surface indicators for the orientation of people with vision impairment</w:t>
      </w:r>
    </w:p>
    <w:bookmarkEnd w:id="344"/>
    <w:bookmarkStart w:name="f-28942-10_01580_000-000" w:id="345"/>
    <w:p>
      <w:pPr>
        <w:pStyle w:val="Standard1"/>
      </w:pPr>
      <w:r>
        <w:rPr/>
        <w:t xml:space="preserve">AS 1580</w:t>
      </w:r>
      <w:r>
        <w:tab/>
      </w:r>
      <w:r>
        <w:tab/>
      </w:r>
      <w:r>
        <w:rPr/>
        <w:t xml:space="preserve">Paints and related materials - Methods of test</w:t>
      </w:r>
    </w:p>
    <w:bookmarkEnd w:id="345"/>
    <w:bookmarkStart w:name="f-28942-10_01580_403-2-0_2006" w:id="346"/>
    <w:p>
      <w:pPr>
        <w:pStyle w:val="Standard2"/>
      </w:pPr>
      <w:r>
        <w:rPr/>
        <w:t xml:space="preserve">AS/NZS 1580.403.2</w:t>
      </w:r>
      <w:r>
        <w:tab/>
      </w:r>
      <w:r>
        <w:rPr/>
        <w:t xml:space="preserve">2006</w:t>
      </w:r>
      <w:r>
        <w:tab/>
      </w:r>
      <w:r>
        <w:rPr/>
        <w:t xml:space="preserve">Abrasion resistance</w:t>
      </w:r>
    </w:p>
    <w:bookmarkEnd w:id="346"/>
    <w:bookmarkStart w:name="f-28942-10_01580_406-1-0_2004" w:id="347"/>
    <w:p>
      <w:pPr>
        <w:pStyle w:val="Standard2"/>
      </w:pPr>
      <w:r>
        <w:rPr/>
        <w:t xml:space="preserve">AS 1580.406.1</w:t>
      </w:r>
      <w:r>
        <w:tab/>
      </w:r>
      <w:r>
        <w:rPr/>
        <w:t xml:space="preserve">2004</w:t>
      </w:r>
      <w:r>
        <w:tab/>
      </w:r>
      <w:r>
        <w:rPr/>
        <w:t xml:space="preserve">Resistance to impact — Falling weight test (Gardner-type tester)</w:t>
      </w:r>
    </w:p>
    <w:bookmarkEnd w:id="347"/>
    <w:bookmarkStart w:name="f-28942-10_02700_000-000_2011" w:id="348"/>
    <w:p>
      <w:pPr>
        <w:pStyle w:val="Standard1"/>
      </w:pPr>
      <w:r>
        <w:rPr/>
        <w:t xml:space="preserve">AS 2700</w:t>
      </w:r>
      <w:r>
        <w:tab/>
      </w:r>
      <w:r>
        <w:rPr/>
        <w:t xml:space="preserve">2011</w:t>
      </w:r>
      <w:r>
        <w:tab/>
      </w:r>
      <w:r>
        <w:rPr/>
        <w:t xml:space="preserve">Colour standards for general purposes</w:t>
      </w:r>
    </w:p>
    <w:bookmarkEnd w:id="348"/>
    <w:bookmarkStart w:name="f-28942-10_03894_000-000" w:id="349"/>
    <w:p>
      <w:pPr>
        <w:pStyle w:val="Standard1"/>
      </w:pPr>
      <w:r>
        <w:rPr/>
        <w:t xml:space="preserve">AS 3894</w:t>
      </w:r>
      <w:r>
        <w:tab/>
      </w:r>
      <w:r>
        <w:tab/>
      </w:r>
      <w:r>
        <w:rPr/>
        <w:t xml:space="preserve">Site testing of protective coatings</w:t>
      </w:r>
    </w:p>
    <w:bookmarkEnd w:id="349"/>
    <w:bookmarkStart w:name="f-28942-10_03894_009-000_2003" w:id="350"/>
    <w:p>
      <w:pPr>
        <w:pStyle w:val="Standard2"/>
      </w:pPr>
      <w:r>
        <w:rPr/>
        <w:t xml:space="preserve">AS 3894.9</w:t>
      </w:r>
      <w:r>
        <w:tab/>
      </w:r>
      <w:r>
        <w:rPr/>
        <w:t xml:space="preserve">2003</w:t>
      </w:r>
      <w:r>
        <w:tab/>
      </w:r>
      <w:r>
        <w:rPr/>
        <w:t xml:space="preserve">Determination of adhesion</w:t>
      </w:r>
    </w:p>
    <w:bookmarkEnd w:id="350"/>
    <w:bookmarkStart w:name="f-28942-10_04586_000-000_2013" w:id="351"/>
    <w:p>
      <w:pPr>
        <w:pStyle w:val="Standard1"/>
      </w:pPr>
      <w:r>
        <w:rPr/>
        <w:t xml:space="preserve">AS 4586</w:t>
      </w:r>
      <w:r>
        <w:tab/>
      </w:r>
      <w:r>
        <w:rPr/>
        <w:t xml:space="preserve">2013</w:t>
      </w:r>
      <w:r>
        <w:tab/>
      </w:r>
      <w:r>
        <w:rPr/>
        <w:t xml:space="preserve">Slip resistance classification of new pedestrian surface materials</w:t>
      </w:r>
    </w:p>
    <w:bookmarkEnd w:id="351"/>
    <w:bookmarkStart w:name="f-28942-15_00197_000-000_1999" w:id="352"/>
    <w:p>
      <w:pPr>
        <w:pStyle w:val="Standard1"/>
      </w:pPr>
      <w:r>
        <w:rPr/>
        <w:t xml:space="preserve">HB 197</w:t>
      </w:r>
      <w:r>
        <w:tab/>
      </w:r>
      <w:r>
        <w:rPr/>
        <w:t xml:space="preserve">1999</w:t>
      </w:r>
      <w:r>
        <w:tab/>
      </w:r>
      <w:r>
        <w:rPr/>
        <w:t xml:space="preserve">An introductory guide to the slip resistance of pedestrian surface materials</w:t>
      </w:r>
    </w:p>
    <w:bookmarkEnd w:id="352"/>
    <w:bookmarkStart w:name="f-28942-15_00198_000-000_2014" w:id="353"/>
    <w:p>
      <w:pPr>
        <w:pStyle w:val="Standard1"/>
      </w:pPr>
      <w:r>
        <w:rPr/>
        <w:t xml:space="preserve">SA HB 198</w:t>
      </w:r>
      <w:r>
        <w:tab/>
      </w:r>
      <w:r>
        <w:rPr/>
        <w:t xml:space="preserve">2014</w:t>
      </w:r>
      <w:r>
        <w:tab/>
      </w:r>
      <w:r>
        <w:rPr/>
        <w:t xml:space="preserve">Guide to the specification and testing of slip resistance of pedestrian surfaces</w:t>
      </w:r>
    </w:p>
    <w:bookmarkEnd w:id="353"/>
    <w:bookmarkStart w:name="f-28942-20_NCC_Table_S7C3_00000_2022" w:id="354"/>
    <w:p>
      <w:pPr>
        <w:pStyle w:val="Standard1"/>
      </w:pPr>
      <w:r>
        <w:rPr/>
        <w:t xml:space="preserve">BCA Table S7C3</w:t>
      </w:r>
      <w:r>
        <w:tab/>
      </w:r>
      <w:r>
        <w:rPr/>
        <w:t xml:space="preserve">2025</w:t>
      </w:r>
      <w:r>
        <w:tab/>
      </w:r>
      <w:r>
        <w:rPr/>
        <w:t xml:space="preserve">Fire resistance - Fire hazard properties - Floor linings and floor coverings - Critical radiant flux (CHF in kW/m²) of floor linings and floor coverings</w:t>
      </w:r>
    </w:p>
    <w:bookmarkEnd w:id="354"/>
    <w:bookmarkStart w:name="f-28942-25_CCAA_Data_Sheet_MC_00000_2007" w:id="355"/>
    <w:p>
      <w:pPr>
        <w:pStyle w:val="Standard1"/>
      </w:pPr>
      <w:r>
        <w:rPr/>
        <w:t xml:space="preserve">CCAA Data Sheet MC</w:t>
      </w:r>
      <w:r>
        <w:tab/>
      </w:r>
      <w:r>
        <w:rPr/>
        <w:t xml:space="preserve">2007</w:t>
      </w:r>
      <w:r>
        <w:tab/>
      </w:r>
      <w:r>
        <w:rPr/>
        <w:t xml:space="preserve">Moisture in concrete and moisture-sensitive finishes and coatings</w:t>
      </w:r>
    </w:p>
    <w:bookmarkEnd w:id="355"/>
    <w:bookmarkStart w:name="f-28942-25_GBCA_Buildings_00000_2021" w:id="356"/>
    <w:p>
      <w:pPr>
        <w:pStyle w:val="Standard1"/>
      </w:pPr>
      <w:r>
        <w:rPr/>
        <w:t xml:space="preserve">GBCA Buildings</w:t>
      </w:r>
      <w:r>
        <w:tab/>
      </w:r>
      <w:r>
        <w:rPr/>
        <w:t xml:space="preserve">2025</w:t>
      </w:r>
      <w:r>
        <w:tab/>
      </w:r>
      <w:r>
        <w:rPr/>
        <w:t xml:space="preserve">Green Star Buildings</w:t>
      </w:r>
    </w:p>
    <w:bookmarkEnd w:id="356"/>
    <w:bookmarkStart w:name="f-28942-25_NATSPEC_DES_001_00000" w:id="357"/>
    <w:p>
      <w:pPr>
        <w:pStyle w:val="Standard1"/>
      </w:pPr>
      <w:r>
        <w:rPr/>
        <w:t xml:space="preserve">NATSPEC DES 001</w:t>
      </w:r>
      <w:r>
        <w:tab/>
      </w:r>
      <w:r>
        <w:tab/>
      </w:r>
      <w:r>
        <w:rPr/>
        <w:t xml:space="preserve">Slip resistance performance</w:t>
      </w:r>
    </w:p>
    <w:bookmarkEnd w:id="357"/>
    <w:bookmarkStart w:name="f-28942-25_NATSPEC_DES_008_00000" w:id="358"/>
    <w:p>
      <w:pPr>
        <w:pStyle w:val="Standard1"/>
      </w:pPr>
      <w:r>
        <w:rPr/>
        <w:t xml:space="preserve">NATSPEC DES 008</w:t>
      </w:r>
      <w:r>
        <w:tab/>
      </w:r>
      <w:r>
        <w:tab/>
      </w:r>
      <w:r>
        <w:rPr/>
        <w:t xml:space="preserve">Preparation of concrete substrates</w:t>
      </w:r>
    </w:p>
    <w:bookmarkEnd w:id="358"/>
    <w:bookmarkStart w:name="f-28942-25_NATSPEC_DES_020_00000" w:id="359"/>
    <w:p>
      <w:pPr>
        <w:pStyle w:val="Standard1"/>
      </w:pPr>
      <w:r>
        <w:rPr/>
        <w:t xml:space="preserve">NATSPEC DES 020</w:t>
      </w:r>
      <w:r>
        <w:tab/>
      </w:r>
      <w:r>
        <w:tab/>
      </w:r>
      <w:r>
        <w:rPr/>
        <w:t xml:space="preserve">Fire behaviour of building materials and assemblies</w:t>
      </w:r>
    </w:p>
    <w:bookmarkEnd w:id="359"/>
    <w:bookmarkStart w:name="f-28942-25_NATSPEC_DES_027_00000" w:id="360"/>
    <w:p>
      <w:pPr>
        <w:pStyle w:val="Standard1"/>
      </w:pPr>
      <w:r>
        <w:rPr/>
        <w:t xml:space="preserve">NATSPEC DES 027</w:t>
      </w:r>
      <w:r>
        <w:tab/>
      </w:r>
      <w:r>
        <w:tab/>
      </w:r>
      <w:r>
        <w:rPr/>
        <w:t xml:space="preserve">Impact sound insulation</w:t>
      </w:r>
    </w:p>
    <w:bookmarkEnd w:id="360"/>
    <w:bookmarkStart w:name="f-28942-25_NATSPEC_DES_032_00000" w:id="361"/>
    <w:p>
      <w:pPr>
        <w:pStyle w:val="Standard1"/>
      </w:pPr>
      <w:r>
        <w:rPr/>
        <w:t xml:space="preserve">NATSPEC DES 032</w:t>
      </w:r>
      <w:r>
        <w:tab/>
      </w:r>
      <w:r>
        <w:tab/>
      </w:r>
      <w:r>
        <w:rPr/>
        <w:t xml:space="preserve">Airborne sound insulation</w:t>
      </w:r>
    </w:p>
    <w:bookmarkEnd w:id="361"/>
    <w:bookmarkStart w:name="f-28942-25_NATSPEC_GEN_006_00000" w:id="362"/>
    <w:p>
      <w:pPr>
        <w:pStyle w:val="Standard1"/>
      </w:pPr>
      <w:r>
        <w:rPr/>
        <w:t xml:space="preserve">NATSPEC GEN 006</w:t>
      </w:r>
      <w:r>
        <w:tab/>
      </w:r>
      <w:r>
        <w:tab/>
      </w:r>
      <w:r>
        <w:rPr/>
        <w:t xml:space="preserve">Product specifying and substitution</w:t>
      </w:r>
    </w:p>
    <w:bookmarkEnd w:id="362"/>
    <w:bookmarkStart w:name="f-28942-25_NATSPEC_GEN_008_00000" w:id="363"/>
    <w:p>
      <w:pPr>
        <w:pStyle w:val="Standard1"/>
      </w:pPr>
      <w:r>
        <w:rPr/>
        <w:t xml:space="preserve">NATSPEC GEN 008</w:t>
      </w:r>
      <w:r>
        <w:tab/>
      </w:r>
      <w:r>
        <w:tab/>
      </w:r>
      <w:r>
        <w:rPr/>
        <w:t xml:space="preserve">Branded vs generic worksections</w:t>
      </w:r>
    </w:p>
    <w:bookmarkEnd w:id="363"/>
    <w:bookmarkStart w:name="f-28942-25_NATSPEC_GEN_024_00000" w:id="364"/>
    <w:p>
      <w:pPr>
        <w:pStyle w:val="Standard1"/>
      </w:pPr>
      <w:r>
        <w:rPr/>
        <w:t xml:space="preserve">NATSPEC GEN 024</w:t>
      </w:r>
      <w:r>
        <w:tab/>
      </w:r>
      <w:r>
        <w:tab/>
      </w:r>
      <w:r>
        <w:rPr/>
        <w:t xml:space="preserve">NATSPEC selections schedules</w:t>
      </w:r>
    </w:p>
    <w:bookmarkEnd w:id="364"/>
    <w:bookmarkStart w:name="f-28942-40_08204_000-000" w:id="365"/>
    <w:p>
      <w:pPr>
        <w:pStyle w:val="Standard1"/>
      </w:pPr>
      <w:r>
        <w:rPr/>
        <w:t xml:space="preserve">BS 8204</w:t>
      </w:r>
      <w:r>
        <w:tab/>
      </w:r>
      <w:r>
        <w:tab/>
      </w:r>
      <w:r>
        <w:rPr/>
        <w:t xml:space="preserve">Screeds, bases and in-situ floorings</w:t>
      </w:r>
    </w:p>
    <w:bookmarkEnd w:id="365"/>
    <w:bookmarkStart w:name="f-28942-40_08204_006-000_2008" w:id="366"/>
    <w:p>
      <w:pPr>
        <w:pStyle w:val="Standard2"/>
      </w:pPr>
      <w:r>
        <w:rPr/>
        <w:t xml:space="preserve">BS 8204-6</w:t>
      </w:r>
      <w:r>
        <w:tab/>
      </w:r>
      <w:r>
        <w:rPr/>
        <w:t xml:space="preserve">2008</w:t>
      </w:r>
      <w:r>
        <w:tab/>
      </w:r>
      <w:r>
        <w:rPr/>
        <w:t xml:space="preserve">Synthetic resin floorings - Code of practice</w:t>
      </w:r>
    </w:p>
    <w:bookmarkEnd w:id="366"/>
    <w:bookmarkStart w:name="f-28942-50_APAS_000AP_00T002_2021" w:id="367"/>
    <w:p>
      <w:pPr>
        <w:pStyle w:val="Standard1"/>
      </w:pPr>
      <w:r>
        <w:rPr/>
        <w:t xml:space="preserve">APAS AP-T002</w:t>
      </w:r>
      <w:r>
        <w:tab/>
      </w:r>
      <w:r>
        <w:rPr/>
        <w:t xml:space="preserve">2021</w:t>
      </w:r>
      <w:r>
        <w:tab/>
      </w:r>
      <w:r>
        <w:rPr/>
        <w:t xml:space="preserve">Determination of the surface emission characteristics of a coating for use in building interiors</w:t>
      </w:r>
    </w:p>
    <w:bookmarkEnd w:id="367"/>
    <w:bookmarkStart w:name="f-28942-50_ASTM_C0267_000000_2020" w:id="368"/>
    <w:p>
      <w:pPr>
        <w:pStyle w:val="Standard1"/>
      </w:pPr>
      <w:r>
        <w:rPr/>
        <w:t xml:space="preserve">ASTM C267</w:t>
      </w:r>
      <w:r>
        <w:tab/>
      </w:r>
      <w:r>
        <w:rPr/>
        <w:t xml:space="preserve">2020</w:t>
      </w:r>
      <w:r>
        <w:tab/>
      </w:r>
      <w:r>
        <w:rPr/>
        <w:t xml:space="preserve">Standard test methods for chemical resistance of mortars, grouts, and monolithic surfacings and polymer concretes</w:t>
      </w:r>
    </w:p>
    <w:bookmarkEnd w:id="368"/>
    <w:bookmarkStart w:name="f-28942-50_ASTM_C0531_000000_2018" w:id="369"/>
    <w:p>
      <w:pPr>
        <w:pStyle w:val="Standard1"/>
      </w:pPr>
      <w:r>
        <w:rPr/>
        <w:t xml:space="preserve">ASTM C531</w:t>
      </w:r>
      <w:r>
        <w:tab/>
      </w:r>
      <w:r>
        <w:rPr/>
        <w:t xml:space="preserve">2018</w:t>
      </w:r>
      <w:r>
        <w:tab/>
      </w:r>
      <w:r>
        <w:rPr/>
        <w:t xml:space="preserve">Standard test method for linear shrinkage and coefficient of thermal expansion of chemical-resistant mortars, grouts, monolithic surfacings, and polymer concretes</w:t>
      </w:r>
    </w:p>
    <w:bookmarkEnd w:id="369"/>
    <w:bookmarkStart w:name="f-28942-50_ASTM_D0543_000000_2021" w:id="370"/>
    <w:p>
      <w:pPr>
        <w:pStyle w:val="Standard1"/>
      </w:pPr>
      <w:r>
        <w:rPr/>
        <w:t xml:space="preserve">ASTM D543</w:t>
      </w:r>
      <w:r>
        <w:tab/>
      </w:r>
      <w:r>
        <w:rPr/>
        <w:t xml:space="preserve">2021</w:t>
      </w:r>
      <w:r>
        <w:tab/>
      </w:r>
      <w:r>
        <w:rPr/>
        <w:t xml:space="preserve">Standard practices for evaluating the resistance of plastics to chemical reagents</w:t>
      </w:r>
    </w:p>
    <w:bookmarkEnd w:id="370"/>
    <w:bookmarkStart w:name="f-28942-50_ASTM_D0570_000000_2022" w:id="371"/>
    <w:p>
      <w:pPr>
        <w:pStyle w:val="Standard1"/>
      </w:pPr>
      <w:r>
        <w:rPr/>
        <w:t xml:space="preserve">ASTM D570</w:t>
      </w:r>
      <w:r>
        <w:tab/>
      </w:r>
      <w:r>
        <w:rPr/>
        <w:t xml:space="preserve">2022</w:t>
      </w:r>
      <w:r>
        <w:tab/>
      </w:r>
      <w:r>
        <w:rPr/>
        <w:t xml:space="preserve">Standard test method for water absorption of plastics</w:t>
      </w:r>
    </w:p>
    <w:bookmarkEnd w:id="371"/>
    <w:bookmarkStart w:name="f-28942-50_ASTM_D0638_000000_2022" w:id="372"/>
    <w:p>
      <w:pPr>
        <w:pStyle w:val="Standard1"/>
      </w:pPr>
      <w:r>
        <w:rPr/>
        <w:t xml:space="preserve">ASTM D638</w:t>
      </w:r>
      <w:r>
        <w:tab/>
      </w:r>
      <w:r>
        <w:rPr/>
        <w:t xml:space="preserve">2022</w:t>
      </w:r>
      <w:r>
        <w:tab/>
      </w:r>
      <w:r>
        <w:rPr/>
        <w:t xml:space="preserve">Standard test method for tensile properties of plastics</w:t>
      </w:r>
    </w:p>
    <w:bookmarkEnd w:id="372"/>
    <w:bookmarkStart w:name="f-28942-50_ASTM_D0695_000000_2026" w:id="373"/>
    <w:p>
      <w:pPr>
        <w:pStyle w:val="Standard1"/>
      </w:pPr>
      <w:r>
        <w:rPr/>
        <w:t xml:space="preserve">ASTM D695</w:t>
      </w:r>
      <w:r>
        <w:tab/>
      </w:r>
      <w:r>
        <w:rPr/>
        <w:t xml:space="preserve">2026</w:t>
      </w:r>
      <w:r>
        <w:tab/>
      </w:r>
      <w:r>
        <w:rPr/>
        <w:t xml:space="preserve">Standard test method for compressive properties of rigid plastics</w:t>
      </w:r>
    </w:p>
    <w:bookmarkEnd w:id="373"/>
    <w:bookmarkStart w:name="f-28942-50_ASTM_D0790_000000_2025" w:id="374"/>
    <w:p>
      <w:pPr>
        <w:pStyle w:val="Standard1"/>
      </w:pPr>
      <w:r>
        <w:rPr/>
        <w:t xml:space="preserve">ASTM D790</w:t>
      </w:r>
      <w:r>
        <w:tab/>
      </w:r>
      <w:r>
        <w:rPr/>
        <w:t xml:space="preserve">2020</w:t>
      </w:r>
      <w:r>
        <w:tab/>
      </w:r>
      <w:r>
        <w:rPr/>
        <w:t xml:space="preserve">Standard test methods for flexural properties of unreinforced and reinforced plastics and electrical insulating materials</w:t>
      </w:r>
    </w:p>
    <w:bookmarkEnd w:id="374"/>
    <w:bookmarkStart w:name="f-28942-50_ASTM_D1308_000000_2020" w:id="375"/>
    <w:p>
      <w:pPr>
        <w:pStyle w:val="Standard1"/>
      </w:pPr>
      <w:r>
        <w:rPr/>
        <w:t xml:space="preserve">ASTM D1308</w:t>
      </w:r>
      <w:r>
        <w:tab/>
      </w:r>
      <w:r>
        <w:rPr/>
        <w:t xml:space="preserve">2020</w:t>
      </w:r>
      <w:r>
        <w:tab/>
      </w:r>
      <w:r>
        <w:rPr/>
        <w:t xml:space="preserve">Standard test method for effect of household chemicals on clear and pigmented coating systems</w:t>
      </w:r>
    </w:p>
    <w:bookmarkEnd w:id="375"/>
    <w:bookmarkStart w:name="f-28942-50_ASTM_D2240_000000_2015" w:id="376"/>
    <w:p>
      <w:pPr>
        <w:pStyle w:val="Standard1"/>
      </w:pPr>
      <w:r>
        <w:rPr/>
        <w:t xml:space="preserve">ASTM D2240</w:t>
      </w:r>
      <w:r>
        <w:tab/>
      </w:r>
      <w:r>
        <w:rPr/>
        <w:t xml:space="preserve">2015</w:t>
      </w:r>
      <w:r>
        <w:tab/>
      </w:r>
      <w:r>
        <w:rPr/>
        <w:t xml:space="preserve">Standard test method for rubber property—Durometer hardness</w:t>
      </w:r>
    </w:p>
    <w:bookmarkEnd w:id="376"/>
    <w:bookmarkStart w:name="f-28942-50_ASTM_D3359_000000_2023" w:id="377"/>
    <w:p>
      <w:pPr>
        <w:pStyle w:val="Standard1"/>
      </w:pPr>
      <w:r>
        <w:rPr/>
        <w:t xml:space="preserve">ASTM D3359</w:t>
      </w:r>
      <w:r>
        <w:tab/>
      </w:r>
      <w:r>
        <w:rPr/>
        <w:t xml:space="preserve">2023</w:t>
      </w:r>
      <w:r>
        <w:tab/>
      </w:r>
      <w:r>
        <w:rPr/>
        <w:t xml:space="preserve">Standard test methods for rating adhesion by tape test</w:t>
      </w:r>
    </w:p>
    <w:bookmarkEnd w:id="377"/>
    <w:bookmarkStart w:name="f-28942-50_ASTM_D7234_000000_2022" w:id="378"/>
    <w:p>
      <w:pPr>
        <w:pStyle w:val="Standard1"/>
      </w:pPr>
      <w:r>
        <w:rPr/>
        <w:t xml:space="preserve">ASTM D7234</w:t>
      </w:r>
      <w:r>
        <w:tab/>
      </w:r>
      <w:r>
        <w:rPr/>
        <w:t xml:space="preserve">2022</w:t>
      </w:r>
      <w:r>
        <w:tab/>
      </w:r>
      <w:r>
        <w:rPr/>
        <w:t xml:space="preserve">Standard test method for pull-off strength of coatings on concrete using portable pull-off adhesion testers</w:t>
      </w:r>
    </w:p>
    <w:bookmarkEnd w:id="378"/>
    <w:bookmarkStart w:name="f-28942-60_FeRFA_Guide_000000_2024" w:id="379"/>
    <w:p>
      <w:pPr>
        <w:pStyle w:val="Standard1"/>
      </w:pPr>
      <w:r>
        <w:rPr/>
        <w:t xml:space="preserve">FeRFA guide</w:t>
      </w:r>
      <w:r>
        <w:tab/>
      </w:r>
      <w:r>
        <w:rPr/>
        <w:t xml:space="preserve">2024</w:t>
      </w:r>
      <w:r>
        <w:tab/>
      </w:r>
      <w:r>
        <w:rPr/>
        <w:t xml:space="preserve">Guide to the specification and application of synthetic resin flooring</w:t>
      </w:r>
    </w:p>
    <w:bookmarkEnd w:id="379"/>
    <w:bookmarkEnd w:id="330"/>
    <w:sectP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rsidR="003F10B8" w:rsidRPr="00420ABA" w:rsidSect="00E57BAC">
      <w:headerReference w:type="even" r:id="rId7"/>
      <w:headerReference w:type="default" r:id="rId8"/>
      <w:footerReference w:type="even" r:id="rId9"/>
      <w:footerReference w:type="default" r:id="rId10"/>
      <w:headerReference w:type="first" r:id="rId11"/>
      <w:footerReference w:type="first" r:id="rId12"/>
      <w:footnotePr>
        <w:numFmt w:val="lowerRoman"/>
      </w:footnotePr>
      <w:endnotePr>
        <w:numFmt w:val="decimal"/>
      </w:endnotePr>
      <w:pgSz w:w="11907" w:h="16840" w:code="9"/>
      <w:pgMar w:top="851" w:right="1418" w:bottom="851" w:left="1418" w:header="720" w:footer="720" w:gutter="0"/>
      <w:cols w:space="720"/>
    </w:sectPr>
    <w:bookmarkEnd w:id="329"/>
  </w:body>
</w:document>
</file>

<file path=word/endnotes.xml><?xml version="1.0" encoding="utf-8"?>
<w:end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endnote w:type="separator" w:id="-1">
    <w:p w14:paraId="1D2386F0" w14:textId="77777777" w:rsidR="00A6597C" w:rsidRDefault="00A6597C">
      <w:r>
        <w:separator/>
      </w:r>
    </w:p>
  </w:endnote>
  <w:endnote w:type="continuationSeparator" w:id="0">
    <w:p w14:paraId="4E998D1D" w14:textId="77777777" w:rsidR="00A6597C" w:rsidRDefault="00A6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E77ECC0" w14:textId="77777777" w:rsidR="006567D2" w:rsidRDefault="006567D2">
    <w:pPr>
      <w:pStyle w:val="Footer"/>
    </w:pPr>
  </w:p>
  <w:p w14:paraId="29C245F0" w14:textId="77777777" w:rsidR="006567D2" w:rsidRDefault="006567D2">
    <w:pPr>
      <w:pStyle w:val="Footer"/>
    </w:pPr>
    <w:r>
      <w:t>Date</w:t>
    </w:r>
    <w:r>
      <w:tab/>
    </w:r>
    <w:r>
      <w:fldChar w:fldCharType="begin"/>
    </w:r>
    <w:r>
      <w:instrText xml:space="preserve"> PAGE </w:instrText>
    </w:r>
    <w:r>
      <w:fldChar w:fldCharType="separate"/>
    </w:r>
    <w:r>
      <w:rPr>
        <w:noProof/>
      </w:rPr>
      <w:t>2</w:t>
    </w:r>
    <w:r>
      <w:fldChar w:fldCharType="end"/>
    </w:r>
    <w:r>
      <w:tab/>
      <w:t>NATSPEC</w:t>
    </w:r>
  </w:p>
</w:ftr>
</file>

<file path=word/footer2.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8386707" w14:textId="77777777" w:rsidR="006567D2" w:rsidRDefault="006567D2">
    <w:pPr>
      <w:pStyle w:val="Footer"/>
    </w:pPr>
  </w:p>
  <w:p w14:paraId="56D572F3" w14:textId="77777777" w:rsidR="006567D2" w:rsidRDefault="00DA00B9">
    <w:pPr>
      <w:pStyle w:val="Footer"/>
    </w:pPr>
    <w:r>
      <w:t>© NATSPEC (</w:t>
    </w:r>
    <w:sdt>
      <w:sdtPr>
        <w:alias w:val="Subject"/>
        <w:tag w:val=""/>
        <w:id w:val="1291787495"/>
        <w:placeholder>
          <w:docPart w:val="51F9EEBBD2D0489D9B33E0E90B72CD55"/>
        </w:placeholder>
        <w:dataBinding w:prefixMappings="xmlns:ns0='http://purl.org/dc/elements/1.1/' xmlns:ns1='http://schemas.openxmlformats.org/package/2006/metadata/core-properties' " w:xpath="/ns1:coreProperties[1]/ns0:subject[1]" w:storeItemID="{6C3C8BC8-F283-45AE-878A-BAB7291924A1}"/>
        <w:text/>
      </w:sdtPr>
      <w:sdtContent>
        <w:r w:rsidR="00D7123E">
          <w:t>Word Template</w:t>
        </w:r>
      </w:sdtContent>
    </w:sdt>
    <w:r w:rsidR="006567D2">
      <w:t>)</w:t>
    </w:r>
    <w:r w:rsidR="006567D2">
      <w:tab/>
    </w:r>
    <w:r w:rsidR="006567D2">
      <w:fldChar w:fldCharType="begin"/>
    </w:r>
    <w:r w:rsidR="006567D2">
      <w:instrText xml:space="preserve"> PAGE </w:instrText>
    </w:r>
    <w:r w:rsidR="006567D2">
      <w:fldChar w:fldCharType="separate"/>
    </w:r>
    <w:r w:rsidR="00D7123E">
      <w:rPr>
        <w:noProof/>
      </w:rPr>
      <w:t>14</w:t>
    </w:r>
    <w:r w:rsidR="006567D2">
      <w:fldChar w:fldCharType="end"/>
    </w:r>
    <w:r w:rsidR="006567D2">
      <w:tab/>
    </w:r>
    <w:r w:rsidR="006567D2">
      <w:fldChar w:fldCharType="begin"/>
    </w:r>
    <w:r w:rsidR="006567D2">
      <w:instrText xml:space="preserve"> MACROBUTTON  ac_OnHelp "[Insert date]" </w:instrText>
    </w:r>
    <w:r w:rsidR="006567D2">
      <w:fldChar w:fldCharType="end"/>
    </w:r>
  </w:p>
  <w:p w14:paraId="55A7B456" w14:textId="77777777" w:rsidR="006567D2" w:rsidRDefault="006567D2">
    <w:pPr>
      <w:pStyle w:val="Footer"/>
    </w:pPr>
  </w:p>
</w:ftr>
</file>

<file path=word/footer3.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D406ECA" w14:textId="77777777" w:rsidR="00BB3C2D" w:rsidRDefault="00BB3C2D">
    <w:pPr>
      <w:pStyle w:val="Footer"/>
    </w:pPr>
  </w:p>
</w:ftr>
</file>

<file path=word/footnotes.xml><?xml version="1.0" encoding="utf-8"?>
<w:foot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footnote w:type="separator" w:id="-1">
    <w:p w14:paraId="44DB2AEC" w14:textId="77777777" w:rsidR="00A6597C" w:rsidRDefault="00A6597C">
      <w:r>
        <w:separator/>
      </w:r>
    </w:p>
  </w:footnote>
  <w:footnote w:type="continuationSeparator" w:id="0">
    <w:p w14:paraId="58FAC1A8" w14:textId="77777777" w:rsidR="00A6597C" w:rsidRDefault="00A6597C">
      <w:r>
        <w:continuationSeparator/>
      </w:r>
    </w:p>
  </w:footnote>
</w:footnotes>
</file>

<file path=word/header1.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98925BE" w14:textId="77777777" w:rsidR="00BB3C2D" w:rsidRDefault="00BB3C2D">
    <w:pPr>
      <w:pStyle w:val="Header"/>
    </w:pPr>
  </w:p>
</w:hdr>
</file>

<file path=word/header2.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723FA1C" w14:textId="0823E399" w:rsidR="006567D2" w:rsidRPr="00BB3C2D" w:rsidRDefault="00000000">
    <w:pPr>
      <w:pStyle w:val="Header"/>
    </w:pPr>
    <w:sdt>
      <w:sdtPr>
        <w:alias w:val="Category"/>
        <w:tag w:val=""/>
        <w:id w:val="1359240299"/>
        <w:placeholder>
          <w:docPart w:val="31BECDE4F6EA497FB26583C3D3546F63"/>
        </w:placeholder>
        <w:dataBinding w:prefixMappings="xmlns:ns0='http://purl.org/dc/elements/1.1/' xmlns:ns1='http://schemas.openxmlformats.org/package/2006/metadata/core-properties' " w:xpath="/ns1:coreProperties[1]/ns1:category[1]" w:storeItemID="{6C3C8BC8-F283-45AE-878A-BAB7291924A1}"/>
        <w:text/>
      </w:sdtPr>
      <w:sdtContent>
        <w:r w:rsidR="00EC2270">
          <w:t>04 Sites</w:t>
        </w:r>
      </w:sdtContent>
    </w:sdt>
    <w:r w:rsidR="006567D2">
      <w:tab/>
    </w:r>
    <w:r w:rsidR="007533D6" w:rsidRPr="00BB3C2D">
      <w:rPr>
        <w:noProof/>
      </w:rPr>
      <w:fldChar w:fldCharType="begin"/>
    </w:r>
    <w:r w:rsidR="007533D6" w:rsidRPr="00BB3C2D">
      <w:rPr>
        <w:noProof/>
      </w:rPr>
      <w:instrText xml:space="preserve"> STYLEREF  "Heading 1"</w:instrText>
    </w:r>
    <w:r w:rsidR="007533D6" w:rsidRPr="00BB3C2D">
      <w:rPr>
        <w:noProof/>
      </w:rPr>
      <w:fldChar w:fldCharType="separate"/>
    </w:r>
    <w:r w:rsidR="00BB3C2D">
      <w:rPr>
        <w:noProof/>
      </w:rPr>
      <w:t>0411 Waterproofing – external and tanking</w:t>
    </w:r>
    <w:r w:rsidR="007533D6" w:rsidRPr="00BB3C2D">
      <w:rPr>
        <w:noProof/>
      </w:rPr>
      <w:fldChar w:fldCharType="end"/>
    </w:r>
  </w:p>
  <w:p w14:paraId="7A3EC4FB" w14:textId="77777777" w:rsidR="006567D2" w:rsidRDefault="006567D2"/>
</w:hdr>
</file>

<file path=word/header3.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205B659" w14:textId="77777777" w:rsidR="00BB3C2D" w:rsidRDefault="00BB3C2D">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abstractNumId="0" w15:restartNumberingAfterBreak="0">
    <w:nsid w:val="FFFFFFFB"/>
    <w:multiLevelType w:val="multilevel"/>
    <w:tmpl w:val="98E03446"/>
    <w:lvl w:ilvl="0">
      <w:start w:val="1"/>
      <w:numFmt w:val="bullet"/>
      <w:pStyle w:val="NormalIndent3"/>
      <w:lvlText w:val="*"/>
      <w:lvlJc w:val="left"/>
      <w:pPr>
        <w:tabs>
          <w:tab w:val="num" w:pos="562"/>
        </w:tabs>
        <w:ind w:left="562" w:hanging="142"/>
      </w:pPr>
      <w:rPr>
        <w:rFonts w:ascii="Times New Roman" w:hAnsi="Times New Roman" w:cs="Times New Roman" w:hint="default"/>
        <w:color w:val="auto"/>
      </w:rPr>
    </w:lvl>
    <w:lvl w:ilvl="1">
      <w:start w:val="1"/>
      <w:numFmt w:val="decimal"/>
      <w:isLgl/>
      <w:suff w:val="nothing"/>
      <w:lvlText w:val="%1%2"/>
      <w:lvlJc w:val="left"/>
      <w:pPr>
        <w:ind w:left="-289" w:firstLine="0"/>
      </w:pPr>
      <w:rPr>
        <w:rFonts w:hint="default"/>
      </w:rPr>
    </w:lvl>
    <w:lvl w:ilvl="2">
      <w:start w:val="1"/>
      <w:numFmt w:val="decimal"/>
      <w:suff w:val="nothing"/>
      <w:lvlText w:val="%2.%3"/>
      <w:lvlJc w:val="left"/>
      <w:pPr>
        <w:ind w:left="-289" w:firstLine="0"/>
      </w:pPr>
      <w:rPr>
        <w:rFonts w:hint="default"/>
      </w:rPr>
    </w:lvl>
    <w:lvl w:ilvl="3">
      <w:start w:val="1"/>
      <w:numFmt w:val="none"/>
      <w:suff w:val="nothing"/>
      <w:lvlText w:val=""/>
      <w:lvlJc w:val="left"/>
      <w:pPr>
        <w:ind w:left="-289" w:firstLine="0"/>
      </w:pPr>
      <w:rPr>
        <w:rFonts w:hint="default"/>
      </w:rPr>
    </w:lvl>
    <w:lvl w:ilvl="4">
      <w:start w:val="1"/>
      <w:numFmt w:val="none"/>
      <w:lvlText w:val=""/>
      <w:lvlJc w:val="left"/>
      <w:pPr>
        <w:tabs>
          <w:tab w:val="num" w:pos="71"/>
        </w:tabs>
        <w:ind w:left="-289" w:firstLine="0"/>
      </w:pPr>
      <w:rPr>
        <w:rFonts w:hint="default"/>
      </w:rPr>
    </w:lvl>
    <w:lvl w:ilvl="5">
      <w:start w:val="1"/>
      <w:numFmt w:val="none"/>
      <w:lvlText w:val=""/>
      <w:lvlJc w:val="left"/>
      <w:pPr>
        <w:tabs>
          <w:tab w:val="num" w:pos="71"/>
        </w:tabs>
        <w:ind w:left="-289" w:firstLine="0"/>
      </w:pPr>
      <w:rPr>
        <w:rFonts w:hint="default"/>
      </w:rPr>
    </w:lvl>
    <w:lvl w:ilvl="6">
      <w:start w:val="1"/>
      <w:numFmt w:val="none"/>
      <w:lvlText w:val=""/>
      <w:lvlJc w:val="left"/>
      <w:pPr>
        <w:tabs>
          <w:tab w:val="num" w:pos="71"/>
        </w:tabs>
        <w:ind w:left="-289" w:firstLine="0"/>
      </w:pPr>
      <w:rPr>
        <w:rFonts w:hint="default"/>
      </w:rPr>
    </w:lvl>
    <w:lvl w:ilvl="7">
      <w:start w:val="1"/>
      <w:numFmt w:val="none"/>
      <w:lvlText w:val=""/>
      <w:lvlJc w:val="left"/>
      <w:pPr>
        <w:tabs>
          <w:tab w:val="num" w:pos="71"/>
        </w:tabs>
        <w:ind w:left="-289" w:firstLine="0"/>
      </w:pPr>
      <w:rPr>
        <w:rFonts w:hint="default"/>
      </w:rPr>
    </w:lvl>
    <w:lvl w:ilvl="8">
      <w:start w:val="1"/>
      <w:numFmt w:val="none"/>
      <w:lvlText w:val=""/>
      <w:lvlJc w:val="left"/>
      <w:pPr>
        <w:tabs>
          <w:tab w:val="num" w:pos="71"/>
        </w:tabs>
        <w:ind w:left="-289" w:firstLine="0"/>
      </w:pPr>
      <w:rPr>
        <w:rFonts w:hint="default"/>
      </w:rPr>
    </w:lvl>
  </w:abstractNum>
  <w:abstractNum w:abstractNumId="1" w15:restartNumberingAfterBreak="0">
    <w:nsid w:val="03463526"/>
    <w:multiLevelType w:val="multilevel"/>
    <w:tmpl w:val="5AFCD3BA"/>
    <w:styleLink w:val="Clause"/>
    <w:lvl w:ilvl="0">
      <w:start w:val="1"/>
      <w:numFmt w:val="decimal"/>
      <w:lvlText w:val="%1."/>
      <w:lvlJc w:val="left"/>
      <w:pPr>
        <w:tabs>
          <w:tab w:val="num" w:pos="680"/>
        </w:tabs>
        <w:ind w:left="680" w:hanging="680"/>
      </w:pPr>
      <w:rPr>
        <w:rFonts w:hint="default"/>
        <w:b w:val="0"/>
        <w:color w:val="auto"/>
      </w:rPr>
    </w:lvl>
    <w:lvl w:ilvl="1">
      <w:start w:val="1"/>
      <w:numFmt w:val="decimal"/>
      <w:lvlText w:val="%1.%2"/>
      <w:lvlJc w:val="left"/>
      <w:pPr>
        <w:tabs>
          <w:tab w:val="num" w:pos="680"/>
        </w:tabs>
        <w:ind w:left="680" w:hanging="680"/>
      </w:pPr>
      <w:rPr>
        <w:rFonts w:hint="default"/>
        <w:b/>
        <w:i w:val="0"/>
        <w:color w:val="auto"/>
      </w:rPr>
    </w:lvl>
    <w:lvl w:ilvl="2">
      <w:start w:val="1"/>
      <w:numFmt w:val="lowerLetter"/>
      <w:lvlText w:val="(%3)"/>
      <w:lvlJc w:val="left"/>
      <w:pPr>
        <w:tabs>
          <w:tab w:val="num" w:pos="1361"/>
        </w:tabs>
        <w:ind w:left="1361" w:hanging="681"/>
      </w:pPr>
      <w:rPr>
        <w:rFonts w:hint="default"/>
        <w:i w:val="0"/>
        <w:color w:val="auto"/>
      </w:rPr>
    </w:lvl>
    <w:lvl w:ilvl="3">
      <w:start w:val="1"/>
      <w:numFmt w:val="lowerRoman"/>
      <w:lvlText w:val="(%4)"/>
      <w:lvlJc w:val="left"/>
      <w:pPr>
        <w:tabs>
          <w:tab w:val="num" w:pos="2081"/>
        </w:tabs>
        <w:ind w:left="2041" w:hanging="680"/>
      </w:pPr>
      <w:rPr>
        <w:rFonts w:hint="default"/>
        <w:i w:val="0"/>
        <w:color w:val="auto"/>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4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 w15:restartNumberingAfterBreak="0">
    <w:nsid w:val="0C5549D0"/>
    <w:multiLevelType w:val="hybridMultilevel"/>
    <w:tmpl w:val="517C6C36"/>
    <w:lvl w:ilvl="0" w:tplc="61EE871E">
      <w:start w:val="1"/>
      <w:numFmt w:val="bullet"/>
      <w:pStyle w:val="Tableindent"/>
      <w:lvlText w:val="­"/>
      <w:lvlJc w:val="left"/>
      <w:pPr>
        <w:tabs>
          <w:tab w:val="num" w:pos="142"/>
        </w:tabs>
        <w:ind w:left="142" w:hanging="142"/>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A5D43"/>
    <w:multiLevelType w:val="hybridMultilevel"/>
    <w:tmpl w:val="57804BB6"/>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4" w15:restartNumberingAfterBreak="0">
    <w:nsid w:val="17350517"/>
    <w:multiLevelType w:val="multilevel"/>
    <w:tmpl w:val="93C6B2A4"/>
    <w:styleLink w:val="index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A970A2"/>
    <w:multiLevelType w:val="hybridMultilevel"/>
    <w:tmpl w:val="281AC63E"/>
    <w:lvl w:ilvl="0" w:tplc="6B1A35E6">
      <w:start w:val="1"/>
      <w:numFmt w:val="bullet"/>
      <w:pStyle w:val="OptionalNormalIndent"/>
      <w:lvlText w:val="-"/>
      <w:lvlJc w:val="left"/>
      <w:pPr>
        <w:tabs>
          <w:tab w:val="num" w:pos="0"/>
        </w:tabs>
        <w:ind w:left="210" w:hanging="21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24F32"/>
    <w:multiLevelType w:val="hybridMultilevel"/>
    <w:tmpl w:val="F40AAF7C"/>
    <w:lvl w:ilvl="0" w:tplc="B4BE4DE0">
      <w:start w:val="1"/>
      <w:numFmt w:val="bullet"/>
      <w:pStyle w:val="Externalinde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97B1AB2"/>
    <w:multiLevelType w:val="hybridMultilevel"/>
    <w:tmpl w:val="6356485E"/>
    <w:lvl w:ilvl="0" w:tplc="A77CCF90">
      <w:start w:val="1"/>
      <w:numFmt w:val="bullet"/>
      <w:pStyle w:val="Promptindent"/>
      <w:lvlText w:val="­"/>
      <w:lvlJc w:val="left"/>
      <w:pPr>
        <w:tabs>
          <w:tab w:val="num" w:pos="21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366D3"/>
    <w:multiLevelType w:val="multilevel"/>
    <w:tmpl w:val="D5CA255C"/>
    <w:styleLink w:val="unumberedlist"/>
    <w:lvl w:ilvl="0">
      <w:start w:val="1"/>
      <w:numFmt w:val="bullet"/>
      <w:lvlText w:val=""/>
      <w:lvlJc w:val="left"/>
      <w:pPr>
        <w:ind w:left="2160" w:hanging="360"/>
      </w:pPr>
      <w:rPr>
        <w:rFonts w:ascii="Symbol" w:hAnsi="Symbol" w:hint="default"/>
      </w:rPr>
    </w:lvl>
    <w:lvl w:ilvl="1">
      <w:start w:val="1"/>
      <w:numFmt w:val="bullet"/>
      <w:lvlText w:val="o"/>
      <w:lvlJc w:val="left"/>
      <w:pPr>
        <w:ind w:left="2592" w:hanging="432"/>
      </w:pPr>
      <w:rPr>
        <w:rFonts w:ascii="Courier New" w:hAnsi="Courier New" w:hint="default"/>
      </w:rPr>
    </w:lvl>
    <w:lvl w:ilvl="2">
      <w:start w:val="1"/>
      <w:numFmt w:val="bullet"/>
      <w:lvlText w:val=""/>
      <w:lvlJc w:val="left"/>
      <w:pPr>
        <w:ind w:left="3024" w:hanging="504"/>
      </w:pPr>
      <w:rPr>
        <w:rFonts w:ascii="Symbol" w:hAnsi="Symbol" w:hint="default"/>
        <w:color w:val="auto"/>
      </w:rPr>
    </w:lvl>
    <w:lvl w:ilvl="3">
      <w:start w:val="1"/>
      <w:numFmt w:val="bullet"/>
      <w:lvlText w:val=""/>
      <w:lvlJc w:val="left"/>
      <w:pPr>
        <w:ind w:left="3528" w:hanging="648"/>
      </w:pPr>
      <w:rPr>
        <w:rFonts w:ascii="Symbol" w:hAnsi="Symbol" w:hint="default"/>
        <w:color w:val="auto"/>
      </w:rPr>
    </w:lvl>
    <w:lvl w:ilvl="4">
      <w:start w:val="1"/>
      <w:numFmt w:val="bullet"/>
      <w:lvlText w:val=""/>
      <w:lvlJc w:val="left"/>
      <w:pPr>
        <w:ind w:left="4032" w:hanging="792"/>
      </w:pPr>
      <w:rPr>
        <w:rFonts w:ascii="Symbol" w:hAnsi="Symbol" w:hint="default"/>
        <w:color w:val="auto"/>
      </w:rPr>
    </w:lvl>
    <w:lvl w:ilvl="5">
      <w:start w:val="1"/>
      <w:numFmt w:val="bullet"/>
      <w:lvlText w:val="o"/>
      <w:lvlJc w:val="left"/>
      <w:pPr>
        <w:ind w:left="4536" w:hanging="936"/>
      </w:pPr>
      <w:rPr>
        <w:rFonts w:ascii="Courier New" w:hAnsi="Courier New"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9" w15:restartNumberingAfterBreak="0">
    <w:nsid w:val="2CBC5F09"/>
    <w:multiLevelType w:val="multilevel"/>
    <w:tmpl w:val="66C4FE1C"/>
    <w:styleLink w:val="Warranty"/>
    <w:lvl w:ilvl="0">
      <w:start w:val="1"/>
      <w:numFmt w:val="decimal"/>
      <w:suff w:val="nothing"/>
      <w:lvlText w:val="Warranty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80"/>
        </w:tabs>
        <w:ind w:left="680" w:hanging="680"/>
      </w:pPr>
      <w:rPr>
        <w:rFonts w:hint="default"/>
        <w:i w:val="0"/>
        <w:color w:val="auto"/>
      </w:rPr>
    </w:lvl>
    <w:lvl w:ilvl="2">
      <w:start w:val="1"/>
      <w:numFmt w:val="lowerLetter"/>
      <w:lvlText w:val="(%3)"/>
      <w:lvlJc w:val="left"/>
      <w:pPr>
        <w:tabs>
          <w:tab w:val="num" w:pos="1361"/>
        </w:tabs>
        <w:ind w:left="1361" w:hanging="681"/>
      </w:pPr>
      <w:rPr>
        <w:rFonts w:hint="default"/>
        <w:color w:val="auto"/>
      </w:rPr>
    </w:lvl>
    <w:lvl w:ilvl="3">
      <w:start w:val="1"/>
      <w:numFmt w:val="lowerRoman"/>
      <w:lvlText w:val="(%4)"/>
      <w:lvlJc w:val="left"/>
      <w:pPr>
        <w:tabs>
          <w:tab w:val="num" w:pos="2081"/>
        </w:tabs>
        <w:ind w:left="2041" w:hanging="680"/>
      </w:pPr>
      <w:rPr>
        <w:rFonts w:hint="default"/>
        <w:color w:val="auto"/>
      </w:rPr>
    </w:lvl>
    <w:lvl w:ilvl="4">
      <w:start w:val="1"/>
      <w:numFmt w:val="upperLetter"/>
      <w:lvlText w:val="(%5)"/>
      <w:lvlJc w:val="left"/>
      <w:pPr>
        <w:tabs>
          <w:tab w:val="num" w:pos="2722"/>
        </w:tabs>
        <w:ind w:left="2722" w:hanging="681"/>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0" w15:restartNumberingAfterBreak="0">
    <w:nsid w:val="2CDB0B85"/>
    <w:multiLevelType w:val="multilevel"/>
    <w:tmpl w:val="6EB8079C"/>
    <w:lvl w:ilvl="0">
      <w:start w:val="1"/>
      <w:numFmt w:val="none"/>
      <w:pStyle w:val="Heading1"/>
      <w:suff w:val="nothing"/>
      <w:lvlText w:val=""/>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lvlText w:val="%2.%3.%4"/>
      <w:lvlJc w:val="left"/>
      <w:pPr>
        <w:tabs>
          <w:tab w:val="num" w:pos="0"/>
        </w:tabs>
        <w:ind w:left="0" w:firstLine="0"/>
      </w:pPr>
      <w:rPr>
        <w:rFonts w:hint="default"/>
      </w:rPr>
    </w:lvl>
    <w:lvl w:ilvl="4">
      <w:start w:val="1"/>
      <w:numFmt w:val="decimal"/>
      <w:pStyle w:val="Heading5"/>
      <w:lvlText w:val=".%5"/>
      <w:lvlJc w:val="left"/>
      <w:pPr>
        <w:tabs>
          <w:tab w:val="num" w:pos="0"/>
        </w:tabs>
        <w:ind w:left="0" w:firstLine="0"/>
      </w:pPr>
      <w:rPr>
        <w:rFonts w:hint="default"/>
      </w:rPr>
    </w:lvl>
    <w:lvl w:ilvl="5">
      <w:start w:val="1"/>
      <w:numFmt w:val="decimal"/>
      <w:pStyle w:val="Heading6"/>
      <w:lvlText w:val=".%5.%6"/>
      <w:lvlJc w:val="left"/>
      <w:pPr>
        <w:tabs>
          <w:tab w:val="num" w:pos="0"/>
        </w:tabs>
        <w:ind w:left="0" w:firstLine="0"/>
      </w:pPr>
      <w:rPr>
        <w:rFonts w:hint="default"/>
      </w:rPr>
    </w:lvl>
    <w:lvl w:ilvl="6">
      <w:start w:val="1"/>
      <w:numFmt w:val="decimal"/>
      <w:pStyle w:val="Heading7"/>
      <w:lvlText w:val=".%5.%6.%7"/>
      <w:lvlJc w:val="left"/>
      <w:pPr>
        <w:tabs>
          <w:tab w:val="num" w:pos="0"/>
        </w:tabs>
        <w:ind w:left="0" w:firstLine="0"/>
      </w:pPr>
      <w:rPr>
        <w:rFonts w:hint="default"/>
      </w:rPr>
    </w:lvl>
    <w:lvl w:ilvl="7">
      <w:start w:val="1"/>
      <w:numFmt w:val="decimal"/>
      <w:pStyle w:val="Heading8"/>
      <w:lvlText w:val=".%5.%6.%7.%8"/>
      <w:lvlJc w:val="left"/>
      <w:pPr>
        <w:tabs>
          <w:tab w:val="num" w:pos="0"/>
        </w:tabs>
        <w:ind w:left="0" w:firstLine="0"/>
      </w:pPr>
      <w:rPr>
        <w:rFonts w:hint="default"/>
      </w:rPr>
    </w:lvl>
    <w:lvl w:ilvl="8">
      <w:start w:val="1"/>
      <w:numFmt w:val="decimal"/>
      <w:pStyle w:val="Heading9"/>
      <w:lvlText w:val=".%5.%6.%7.%8.%9"/>
      <w:lvlJc w:val="left"/>
      <w:pPr>
        <w:tabs>
          <w:tab w:val="num" w:pos="0"/>
        </w:tabs>
        <w:ind w:left="0" w:firstLine="0"/>
      </w:pPr>
      <w:rPr>
        <w:rFonts w:hint="default"/>
      </w:rPr>
    </w:lvl>
  </w:abstractNum>
  <w:abstractNum w:abstractNumId="11" w15:restartNumberingAfterBreak="0">
    <w:nsid w:val="2D9328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E0C3364"/>
    <w:multiLevelType w:val="hybridMultilevel"/>
    <w:tmpl w:val="E8A80A50"/>
    <w:lvl w:ilvl="0" w:tplc="78A02EB0">
      <w:start w:val="1"/>
      <w:numFmt w:val="bullet"/>
      <w:pStyle w:val="Tableindent2"/>
      <w:lvlText w:val="."/>
      <w:lvlJc w:val="left"/>
      <w:pPr>
        <w:tabs>
          <w:tab w:val="num" w:pos="0"/>
        </w:tabs>
        <w:ind w:left="0" w:firstLine="142"/>
      </w:pPr>
      <w:rPr>
        <w:rFonts w:ascii="Times New Roman" w:hAnsi="Times New Roman" w:cs="Times New Roman"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82349AF"/>
    <w:multiLevelType w:val="hybridMultilevel"/>
    <w:tmpl w:val="BB4E3C96"/>
    <w:lvl w:ilvl="0" w:tplc="11EA9DCE">
      <w:numFmt w:val="bullet"/>
      <w:pStyle w:val="NormalIndent"/>
      <w:lvlText w:val="-"/>
      <w:lvlJc w:val="left"/>
      <w:pPr>
        <w:tabs>
          <w:tab w:val="num" w:pos="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D403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61E201C"/>
    <w:multiLevelType w:val="multilevel"/>
    <w:tmpl w:val="4FC21C2E"/>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tabs>
          <w:tab w:val="num" w:pos="1361"/>
        </w:tabs>
        <w:ind w:left="1361" w:hanging="681"/>
      </w:pPr>
      <w:rPr>
        <w:rFonts w:hint="default"/>
      </w:rPr>
    </w:lvl>
    <w:lvl w:ilvl="2">
      <w:start w:val="1"/>
      <w:numFmt w:val="lowerRoman"/>
      <w:pStyle w:val="DefinitionL3"/>
      <w:lvlText w:val="(%3)"/>
      <w:lvlJc w:val="left"/>
      <w:pPr>
        <w:tabs>
          <w:tab w:val="num" w:pos="2081"/>
        </w:tabs>
        <w:ind w:left="2041" w:hanging="680"/>
      </w:pPr>
      <w:rPr>
        <w:rFonts w:hint="default"/>
      </w:rPr>
    </w:lvl>
    <w:lvl w:ilvl="3">
      <w:start w:val="1"/>
      <w:numFmt w:val="upperLetter"/>
      <w:pStyle w:val="DefinitionL4"/>
      <w:lvlText w:val="(%4)"/>
      <w:lvlJc w:val="left"/>
      <w:pPr>
        <w:tabs>
          <w:tab w:val="num" w:pos="2801"/>
        </w:tabs>
        <w:ind w:left="2801" w:hanging="68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6" w15:restartNumberingAfterBreak="0">
    <w:nsid w:val="49C676F8"/>
    <w:multiLevelType w:val="singleLevel"/>
    <w:tmpl w:val="544C4E28"/>
    <w:lvl w:ilvl="0">
      <w:start w:val="1"/>
      <w:numFmt w:val="bullet"/>
      <w:pStyle w:val="Instructionsindent"/>
      <w:lvlText w:val=""/>
      <w:lvlJc w:val="left"/>
      <w:pPr>
        <w:tabs>
          <w:tab w:val="num" w:pos="420"/>
        </w:tabs>
        <w:ind w:left="420" w:hanging="360"/>
      </w:pPr>
      <w:rPr>
        <w:rFonts w:ascii="Symbol" w:hAnsi="Symbol" w:hint="default"/>
      </w:rPr>
    </w:lvl>
  </w:abstractNum>
  <w:abstractNum w:abstractNumId="17" w15:restartNumberingAfterBreak="0">
    <w:nsid w:val="4AC478DB"/>
    <w:multiLevelType w:val="multilevel"/>
    <w:tmpl w:val="B99E73C4"/>
    <w:styleLink w:val="heading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CE2456"/>
    <w:multiLevelType w:val="multilevel"/>
    <w:tmpl w:val="EE025064"/>
    <w:styleLink w:val="Schedule"/>
    <w:lvl w:ilvl="0">
      <w:start w:val="1"/>
      <w:numFmt w:val="decimal"/>
      <w:suff w:val="nothing"/>
      <w:lvlText w:val="Schedule %1"/>
      <w:lvlJc w:val="left"/>
      <w:pPr>
        <w:ind w:left="0" w:firstLine="0"/>
      </w:pPr>
      <w:rPr>
        <w:rFonts w:ascii="Arial" w:hAnsi="Arial" w:hint="default"/>
        <w:b w:val="0"/>
        <w:i w:val="0"/>
        <w:color w:val="auto"/>
      </w:rPr>
    </w:lvl>
    <w:lvl w:ilvl="1">
      <w:start w:val="1"/>
      <w:numFmt w:val="decimal"/>
      <w:pStyle w:val="ScheduleL2"/>
      <w:lvlText w:val="%2."/>
      <w:lvlJc w:val="left"/>
      <w:pPr>
        <w:tabs>
          <w:tab w:val="num" w:pos="680"/>
        </w:tabs>
        <w:ind w:left="680" w:hanging="680"/>
      </w:pPr>
      <w:rPr>
        <w:rFonts w:hint="default"/>
        <w:color w:val="auto"/>
      </w:rPr>
    </w:lvl>
    <w:lvl w:ilvl="2">
      <w:start w:val="1"/>
      <w:numFmt w:val="decimal"/>
      <w:lvlText w:val="%2.%3"/>
      <w:lvlJc w:val="left"/>
      <w:pPr>
        <w:tabs>
          <w:tab w:val="num" w:pos="680"/>
        </w:tabs>
        <w:ind w:left="680" w:hanging="680"/>
      </w:pPr>
      <w:rPr>
        <w:rFonts w:hint="default"/>
        <w:color w:val="auto"/>
      </w:rPr>
    </w:lvl>
    <w:lvl w:ilvl="3">
      <w:start w:val="1"/>
      <w:numFmt w:val="lowerLetter"/>
      <w:lvlText w:val="(%4)"/>
      <w:lvlJc w:val="left"/>
      <w:pPr>
        <w:tabs>
          <w:tab w:val="num" w:pos="1361"/>
        </w:tabs>
        <w:ind w:left="1361" w:hanging="681"/>
      </w:pPr>
      <w:rPr>
        <w:rFonts w:hint="default"/>
        <w:color w:val="auto"/>
      </w:rPr>
    </w:lvl>
    <w:lvl w:ilvl="4">
      <w:start w:val="1"/>
      <w:numFmt w:val="lowerRoman"/>
      <w:lvlText w:val="(%5)"/>
      <w:lvlJc w:val="left"/>
      <w:pPr>
        <w:tabs>
          <w:tab w:val="num" w:pos="2081"/>
        </w:tabs>
        <w:ind w:left="2041" w:hanging="680"/>
      </w:pPr>
      <w:rPr>
        <w:rFonts w:hint="default"/>
        <w:color w:val="auto"/>
      </w:rPr>
    </w:lvl>
    <w:lvl w:ilvl="5">
      <w:start w:val="1"/>
      <w:numFmt w:val="upperLetter"/>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4FD96DE1"/>
    <w:multiLevelType w:val="singleLevel"/>
    <w:tmpl w:val="3626B9FA"/>
    <w:lvl w:ilvl="0">
      <w:numFmt w:val="bullet"/>
      <w:pStyle w:val="NormalIndent2"/>
      <w:lvlText w:val="."/>
      <w:lvlJc w:val="left"/>
      <w:pPr>
        <w:tabs>
          <w:tab w:val="num" w:pos="210"/>
        </w:tabs>
        <w:ind w:left="420" w:hanging="210"/>
      </w:pPr>
      <w:rPr>
        <w:rFonts w:ascii="Times New Roman" w:hAnsi="Times New Roman" w:cs="Times New Roman" w:hint="default"/>
      </w:rPr>
    </w:lvl>
  </w:abstractNum>
  <w:abstractNum w:abstractNumId="20" w15:restartNumberingAfterBreak="0">
    <w:nsid w:val="5F9C2265"/>
    <w:multiLevelType w:val="hybridMultilevel"/>
    <w:tmpl w:val="7A661A20"/>
    <w:lvl w:ilvl="0" w:tplc="E3CE06F6">
      <w:start w:val="1"/>
      <w:numFmt w:val="bullet"/>
      <w:pStyle w:val="Promptindent2"/>
      <w:lvlText w:val="."/>
      <w:lvlJc w:val="left"/>
      <w:pPr>
        <w:tabs>
          <w:tab w:val="num" w:pos="210"/>
        </w:tabs>
        <w:ind w:left="210" w:firstLine="0"/>
      </w:pPr>
      <w:rPr>
        <w:rFonts w:ascii="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1" w15:restartNumberingAfterBreak="0">
    <w:nsid w:val="685674E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B1420C2"/>
    <w:multiLevelType w:val="multilevel"/>
    <w:tmpl w:val="4D5C1696"/>
    <w:lvl w:ilvl="0">
      <w:start w:val="1"/>
      <w:numFmt w:val="decimal"/>
      <w:suff w:val="nothing"/>
      <w:lvlText w:val="Schedule %1"/>
      <w:lvlJc w:val="left"/>
      <w:pPr>
        <w:ind w:left="0" w:firstLine="0"/>
      </w:pPr>
      <w:rPr>
        <w:rFonts w:ascii="Arial" w:hAnsi="Arial" w:hint="default"/>
        <w:b w:val="0"/>
        <w:i w:val="0"/>
      </w:rPr>
    </w:lvl>
    <w:lvl w:ilvl="1">
      <w:start w:val="1"/>
      <w:numFmt w:val="decimal"/>
      <w:lvlText w:val="%2."/>
      <w:lvlJc w:val="left"/>
      <w:pPr>
        <w:tabs>
          <w:tab w:val="num" w:pos="680"/>
        </w:tabs>
        <w:ind w:left="680" w:hanging="680"/>
      </w:pPr>
    </w:lvl>
    <w:lvl w:ilvl="2">
      <w:start w:val="1"/>
      <w:numFmt w:val="decimal"/>
      <w:lvlText w:val="%2.%3"/>
      <w:lvlJc w:val="left"/>
      <w:pPr>
        <w:tabs>
          <w:tab w:val="num" w:pos="680"/>
        </w:tabs>
        <w:ind w:left="680" w:hanging="680"/>
      </w:pPr>
    </w:lvl>
    <w:lvl w:ilvl="3">
      <w:start w:val="1"/>
      <w:numFmt w:val="lowerLetter"/>
      <w:lvlText w:val="(%4)"/>
      <w:lvlJc w:val="left"/>
      <w:pPr>
        <w:tabs>
          <w:tab w:val="num" w:pos="1361"/>
        </w:tabs>
        <w:ind w:left="1361" w:hanging="681"/>
      </w:pPr>
    </w:lvl>
    <w:lvl w:ilvl="4">
      <w:start w:val="1"/>
      <w:numFmt w:val="lowerRoman"/>
      <w:lvlText w:val="(%5)"/>
      <w:lvlJc w:val="left"/>
      <w:pPr>
        <w:tabs>
          <w:tab w:val="num" w:pos="2081"/>
        </w:tabs>
        <w:ind w:left="2041" w:hanging="680"/>
      </w:pPr>
    </w:lvl>
    <w:lvl w:ilvl="5">
      <w:start w:val="1"/>
      <w:numFmt w:val="upperLetter"/>
      <w:lvlText w:val="(%6)"/>
      <w:lvlJc w:val="left"/>
      <w:pPr>
        <w:tabs>
          <w:tab w:val="num" w:pos="2722"/>
        </w:tabs>
        <w:ind w:left="2722" w:hanging="681"/>
      </w:pPr>
    </w:lvl>
    <w:lvl w:ilvl="6">
      <w:start w:val="1"/>
      <w:numFmt w:val="none"/>
      <w:suff w:val="nothing"/>
      <w:lvlText w:val=""/>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3" w15:restartNumberingAfterBreak="0">
    <w:nsid w:val="7710775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19892461">
    <w:abstractNumId w:val="16"/>
  </w:num>
  <w:num w:numId="2" w16cid:durableId="1325474016">
    <w:abstractNumId w:val="0"/>
  </w:num>
  <w:num w:numId="3" w16cid:durableId="488135761">
    <w:abstractNumId w:val="19"/>
  </w:num>
  <w:num w:numId="4" w16cid:durableId="55982737">
    <w:abstractNumId w:val="2"/>
  </w:num>
  <w:num w:numId="5" w16cid:durableId="2124106526">
    <w:abstractNumId w:val="13"/>
  </w:num>
  <w:num w:numId="6" w16cid:durableId="810943686">
    <w:abstractNumId w:val="10"/>
  </w:num>
  <w:num w:numId="7" w16cid:durableId="520701674">
    <w:abstractNumId w:val="12"/>
  </w:num>
  <w:num w:numId="8" w16cid:durableId="262303869">
    <w:abstractNumId w:val="13"/>
  </w:num>
  <w:num w:numId="9" w16cid:durableId="2139950163">
    <w:abstractNumId w:val="7"/>
  </w:num>
  <w:num w:numId="10" w16cid:durableId="441613472">
    <w:abstractNumId w:val="20"/>
  </w:num>
  <w:num w:numId="11" w16cid:durableId="1993485217">
    <w:abstractNumId w:val="11"/>
  </w:num>
  <w:num w:numId="12" w16cid:durableId="1661814440">
    <w:abstractNumId w:val="23"/>
  </w:num>
  <w:num w:numId="13" w16cid:durableId="137840434">
    <w:abstractNumId w:val="14"/>
  </w:num>
  <w:num w:numId="14" w16cid:durableId="972826673">
    <w:abstractNumId w:val="21"/>
  </w:num>
  <w:num w:numId="15" w16cid:durableId="697849390">
    <w:abstractNumId w:val="7"/>
  </w:num>
  <w:num w:numId="16" w16cid:durableId="1060250337">
    <w:abstractNumId w:val="20"/>
  </w:num>
  <w:num w:numId="17" w16cid:durableId="361790403">
    <w:abstractNumId w:val="7"/>
  </w:num>
  <w:num w:numId="18" w16cid:durableId="2115785992">
    <w:abstractNumId w:val="0"/>
  </w:num>
  <w:num w:numId="19" w16cid:durableId="1371144922">
    <w:abstractNumId w:val="0"/>
  </w:num>
  <w:num w:numId="20" w16cid:durableId="2107725022">
    <w:abstractNumId w:val="7"/>
  </w:num>
  <w:num w:numId="21" w16cid:durableId="91053962">
    <w:abstractNumId w:val="10"/>
  </w:num>
  <w:num w:numId="22" w16cid:durableId="213395658">
    <w:abstractNumId w:val="13"/>
  </w:num>
  <w:num w:numId="23" w16cid:durableId="1369145269">
    <w:abstractNumId w:val="13"/>
  </w:num>
  <w:num w:numId="24" w16cid:durableId="1145010149">
    <w:abstractNumId w:val="5"/>
  </w:num>
  <w:num w:numId="25" w16cid:durableId="346179978">
    <w:abstractNumId w:val="5"/>
  </w:num>
  <w:num w:numId="26" w16cid:durableId="1735084580">
    <w:abstractNumId w:val="7"/>
  </w:num>
  <w:num w:numId="27" w16cid:durableId="542328729">
    <w:abstractNumId w:val="7"/>
  </w:num>
  <w:num w:numId="28" w16cid:durableId="1898935619">
    <w:abstractNumId w:val="5"/>
  </w:num>
  <w:num w:numId="29" w16cid:durableId="205265058">
    <w:abstractNumId w:val="5"/>
  </w:num>
  <w:num w:numId="30" w16cid:durableId="432744296">
    <w:abstractNumId w:val="5"/>
  </w:num>
  <w:num w:numId="31" w16cid:durableId="177697604">
    <w:abstractNumId w:val="19"/>
  </w:num>
  <w:num w:numId="32" w16cid:durableId="1277759770">
    <w:abstractNumId w:val="3"/>
  </w:num>
  <w:num w:numId="33" w16cid:durableId="339506406">
    <w:abstractNumId w:val="22"/>
  </w:num>
  <w:num w:numId="34" w16cid:durableId="1640529689">
    <w:abstractNumId w:val="1"/>
  </w:num>
  <w:num w:numId="35" w16cid:durableId="1245840321">
    <w:abstractNumId w:val="15"/>
  </w:num>
  <w:num w:numId="36" w16cid:durableId="1078479281">
    <w:abstractNumId w:val="18"/>
  </w:num>
  <w:num w:numId="37" w16cid:durableId="917441045">
    <w:abstractNumId w:val="9"/>
  </w:num>
  <w:num w:numId="38" w16cid:durableId="1147864533">
    <w:abstractNumId w:val="17"/>
  </w:num>
  <w:num w:numId="39" w16cid:durableId="400063501">
    <w:abstractNumId w:val="4"/>
  </w:num>
  <w:num w:numId="40" w16cid:durableId="1397433464">
    <w:abstractNumId w:val="8"/>
  </w:num>
  <w:num w:numId="41" w16cid:durableId="489754982">
    <w:abstractNumId w:val="6"/>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zoom w:percent="100"/>
  <w:printFractionalCharacterWidth/>
  <w:hideGrammaticalErrors/>
  <w:activeWritingStyle w:appName="MSWord" w:lang="en-AU" w:vendorID="8" w:dllVersion="513"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E80"/>
    <w:rsid w:val="00000C09"/>
    <w:rsid w:val="0001492A"/>
    <w:rsid w:val="00015027"/>
    <w:rsid w:val="00026580"/>
    <w:rsid w:val="000306BA"/>
    <w:rsid w:val="00033740"/>
    <w:rsid w:val="0003482B"/>
    <w:rsid w:val="00035D60"/>
    <w:rsid w:val="0004192B"/>
    <w:rsid w:val="00043817"/>
    <w:rsid w:val="000525FE"/>
    <w:rsid w:val="00054110"/>
    <w:rsid w:val="00070729"/>
    <w:rsid w:val="00076042"/>
    <w:rsid w:val="00093056"/>
    <w:rsid w:val="000A6053"/>
    <w:rsid w:val="000B0F8F"/>
    <w:rsid w:val="000B3AFA"/>
    <w:rsid w:val="000C383C"/>
    <w:rsid w:val="000C4FF0"/>
    <w:rsid w:val="000D747D"/>
    <w:rsid w:val="000E037C"/>
    <w:rsid w:val="0010551F"/>
    <w:rsid w:val="00113C6F"/>
    <w:rsid w:val="00114AF8"/>
    <w:rsid w:val="0012143A"/>
    <w:rsid w:val="001452D0"/>
    <w:rsid w:val="00147FF6"/>
    <w:rsid w:val="00152A1C"/>
    <w:rsid w:val="00154A03"/>
    <w:rsid w:val="00164FFE"/>
    <w:rsid w:val="00165935"/>
    <w:rsid w:val="0017191C"/>
    <w:rsid w:val="00173F6D"/>
    <w:rsid w:val="00183A47"/>
    <w:rsid w:val="001933EE"/>
    <w:rsid w:val="00195012"/>
    <w:rsid w:val="001975D7"/>
    <w:rsid w:val="001A2F52"/>
    <w:rsid w:val="001C1983"/>
    <w:rsid w:val="001C2051"/>
    <w:rsid w:val="001C69A9"/>
    <w:rsid w:val="001D5D6B"/>
    <w:rsid w:val="001E3722"/>
    <w:rsid w:val="001E5C94"/>
    <w:rsid w:val="001F3B8D"/>
    <w:rsid w:val="00211DCB"/>
    <w:rsid w:val="00216F04"/>
    <w:rsid w:val="00221F32"/>
    <w:rsid w:val="0025068A"/>
    <w:rsid w:val="00265A15"/>
    <w:rsid w:val="0026671C"/>
    <w:rsid w:val="002721D7"/>
    <w:rsid w:val="002A20C2"/>
    <w:rsid w:val="002B4035"/>
    <w:rsid w:val="002B4CBB"/>
    <w:rsid w:val="002D75AD"/>
    <w:rsid w:val="003042D9"/>
    <w:rsid w:val="00332487"/>
    <w:rsid w:val="00346171"/>
    <w:rsid w:val="00346453"/>
    <w:rsid w:val="003465CA"/>
    <w:rsid w:val="003634A4"/>
    <w:rsid w:val="00367FDF"/>
    <w:rsid w:val="003704FE"/>
    <w:rsid w:val="00377499"/>
    <w:rsid w:val="003806E9"/>
    <w:rsid w:val="00385556"/>
    <w:rsid w:val="00385DD3"/>
    <w:rsid w:val="00391E4E"/>
    <w:rsid w:val="00395E07"/>
    <w:rsid w:val="00396C95"/>
    <w:rsid w:val="003A3A44"/>
    <w:rsid w:val="003A75D3"/>
    <w:rsid w:val="003D6832"/>
    <w:rsid w:val="003E4528"/>
    <w:rsid w:val="003E5ED2"/>
    <w:rsid w:val="003F10B8"/>
    <w:rsid w:val="004063DD"/>
    <w:rsid w:val="00406801"/>
    <w:rsid w:val="004147FD"/>
    <w:rsid w:val="00420ABA"/>
    <w:rsid w:val="0044474C"/>
    <w:rsid w:val="004463CE"/>
    <w:rsid w:val="0045251F"/>
    <w:rsid w:val="00471E80"/>
    <w:rsid w:val="004800E4"/>
    <w:rsid w:val="0049254F"/>
    <w:rsid w:val="00493FBB"/>
    <w:rsid w:val="004A1C7A"/>
    <w:rsid w:val="004B7490"/>
    <w:rsid w:val="004C00F9"/>
    <w:rsid w:val="004D3577"/>
    <w:rsid w:val="004E779E"/>
    <w:rsid w:val="00500AF2"/>
    <w:rsid w:val="0050389A"/>
    <w:rsid w:val="005163BB"/>
    <w:rsid w:val="00517F32"/>
    <w:rsid w:val="00550729"/>
    <w:rsid w:val="005510E4"/>
    <w:rsid w:val="005532A9"/>
    <w:rsid w:val="005615AA"/>
    <w:rsid w:val="0056684B"/>
    <w:rsid w:val="0057003C"/>
    <w:rsid w:val="00584ECB"/>
    <w:rsid w:val="00593B01"/>
    <w:rsid w:val="005C3403"/>
    <w:rsid w:val="005C633A"/>
    <w:rsid w:val="005D3BE6"/>
    <w:rsid w:val="005D4279"/>
    <w:rsid w:val="005E5B1E"/>
    <w:rsid w:val="005F0B9C"/>
    <w:rsid w:val="005F518F"/>
    <w:rsid w:val="005F6053"/>
    <w:rsid w:val="005F6D32"/>
    <w:rsid w:val="006061C5"/>
    <w:rsid w:val="006142B1"/>
    <w:rsid w:val="00635776"/>
    <w:rsid w:val="00655106"/>
    <w:rsid w:val="00655AC6"/>
    <w:rsid w:val="00655EED"/>
    <w:rsid w:val="006567D2"/>
    <w:rsid w:val="00663CEC"/>
    <w:rsid w:val="00666930"/>
    <w:rsid w:val="00667CD7"/>
    <w:rsid w:val="00682A41"/>
    <w:rsid w:val="006952CA"/>
    <w:rsid w:val="00695855"/>
    <w:rsid w:val="00695A40"/>
    <w:rsid w:val="006A05B6"/>
    <w:rsid w:val="006A7576"/>
    <w:rsid w:val="006B258D"/>
    <w:rsid w:val="006B35CB"/>
    <w:rsid w:val="006D4AE8"/>
    <w:rsid w:val="006E6D2A"/>
    <w:rsid w:val="006F4B89"/>
    <w:rsid w:val="006F73BB"/>
    <w:rsid w:val="0074575A"/>
    <w:rsid w:val="0074728C"/>
    <w:rsid w:val="00750BC6"/>
    <w:rsid w:val="007533D6"/>
    <w:rsid w:val="007551B5"/>
    <w:rsid w:val="00755CB6"/>
    <w:rsid w:val="00756783"/>
    <w:rsid w:val="007620F4"/>
    <w:rsid w:val="00776C7E"/>
    <w:rsid w:val="007B2C8C"/>
    <w:rsid w:val="007F566F"/>
    <w:rsid w:val="00816A88"/>
    <w:rsid w:val="0082407F"/>
    <w:rsid w:val="00830CA9"/>
    <w:rsid w:val="00832630"/>
    <w:rsid w:val="00835E8B"/>
    <w:rsid w:val="0083645C"/>
    <w:rsid w:val="008553FC"/>
    <w:rsid w:val="0086261B"/>
    <w:rsid w:val="00865883"/>
    <w:rsid w:val="00876920"/>
    <w:rsid w:val="008778AF"/>
    <w:rsid w:val="00886FFF"/>
    <w:rsid w:val="00887CFB"/>
    <w:rsid w:val="00892683"/>
    <w:rsid w:val="008940F8"/>
    <w:rsid w:val="00895922"/>
    <w:rsid w:val="008A25E0"/>
    <w:rsid w:val="008A6782"/>
    <w:rsid w:val="008B3753"/>
    <w:rsid w:val="008B4584"/>
    <w:rsid w:val="008B6CA3"/>
    <w:rsid w:val="008C18F5"/>
    <w:rsid w:val="008D400B"/>
    <w:rsid w:val="008D57D7"/>
    <w:rsid w:val="008D6870"/>
    <w:rsid w:val="008D68B9"/>
    <w:rsid w:val="008E557E"/>
    <w:rsid w:val="008E5DCD"/>
    <w:rsid w:val="008E799C"/>
    <w:rsid w:val="008F4C7D"/>
    <w:rsid w:val="008F690E"/>
    <w:rsid w:val="00913BCC"/>
    <w:rsid w:val="0091448E"/>
    <w:rsid w:val="00922113"/>
    <w:rsid w:val="009244B7"/>
    <w:rsid w:val="00925AE9"/>
    <w:rsid w:val="00933963"/>
    <w:rsid w:val="00944DD7"/>
    <w:rsid w:val="00957D09"/>
    <w:rsid w:val="00963298"/>
    <w:rsid w:val="00976C87"/>
    <w:rsid w:val="009772C2"/>
    <w:rsid w:val="00980774"/>
    <w:rsid w:val="00984422"/>
    <w:rsid w:val="0099258F"/>
    <w:rsid w:val="009A42D8"/>
    <w:rsid w:val="009B118F"/>
    <w:rsid w:val="009B1E9A"/>
    <w:rsid w:val="009B2FE5"/>
    <w:rsid w:val="009C0EFD"/>
    <w:rsid w:val="009C37B7"/>
    <w:rsid w:val="009C46D5"/>
    <w:rsid w:val="009D223F"/>
    <w:rsid w:val="00A05402"/>
    <w:rsid w:val="00A06CD8"/>
    <w:rsid w:val="00A1077B"/>
    <w:rsid w:val="00A16ECB"/>
    <w:rsid w:val="00A341D1"/>
    <w:rsid w:val="00A41850"/>
    <w:rsid w:val="00A6597C"/>
    <w:rsid w:val="00A8763C"/>
    <w:rsid w:val="00AB5BE3"/>
    <w:rsid w:val="00AC2163"/>
    <w:rsid w:val="00AC63A8"/>
    <w:rsid w:val="00AD0420"/>
    <w:rsid w:val="00AD5EAE"/>
    <w:rsid w:val="00AD7204"/>
    <w:rsid w:val="00AD748D"/>
    <w:rsid w:val="00AD7B04"/>
    <w:rsid w:val="00B029FB"/>
    <w:rsid w:val="00B24A40"/>
    <w:rsid w:val="00B2589F"/>
    <w:rsid w:val="00B271F3"/>
    <w:rsid w:val="00B40134"/>
    <w:rsid w:val="00B50F70"/>
    <w:rsid w:val="00B63C93"/>
    <w:rsid w:val="00B74727"/>
    <w:rsid w:val="00B83403"/>
    <w:rsid w:val="00B847BE"/>
    <w:rsid w:val="00B87EA6"/>
    <w:rsid w:val="00B906AF"/>
    <w:rsid w:val="00B91145"/>
    <w:rsid w:val="00B923BF"/>
    <w:rsid w:val="00BA509B"/>
    <w:rsid w:val="00BB3C2D"/>
    <w:rsid w:val="00BC4DEA"/>
    <w:rsid w:val="00BD47DE"/>
    <w:rsid w:val="00BE0DB0"/>
    <w:rsid w:val="00BE188B"/>
    <w:rsid w:val="00BF08E7"/>
    <w:rsid w:val="00BF35F9"/>
    <w:rsid w:val="00BF7065"/>
    <w:rsid w:val="00C10EF1"/>
    <w:rsid w:val="00C244ED"/>
    <w:rsid w:val="00C425FE"/>
    <w:rsid w:val="00C42FA6"/>
    <w:rsid w:val="00C44B56"/>
    <w:rsid w:val="00C4619E"/>
    <w:rsid w:val="00C652CE"/>
    <w:rsid w:val="00C72A30"/>
    <w:rsid w:val="00C76D43"/>
    <w:rsid w:val="00C77413"/>
    <w:rsid w:val="00C97CE5"/>
    <w:rsid w:val="00CB2EEF"/>
    <w:rsid w:val="00CB6139"/>
    <w:rsid w:val="00CB724D"/>
    <w:rsid w:val="00CE7DE6"/>
    <w:rsid w:val="00CF1B97"/>
    <w:rsid w:val="00D16B76"/>
    <w:rsid w:val="00D245D6"/>
    <w:rsid w:val="00D3270C"/>
    <w:rsid w:val="00D56651"/>
    <w:rsid w:val="00D61628"/>
    <w:rsid w:val="00D65B75"/>
    <w:rsid w:val="00D7123E"/>
    <w:rsid w:val="00D73A02"/>
    <w:rsid w:val="00D828A1"/>
    <w:rsid w:val="00D9043E"/>
    <w:rsid w:val="00D90768"/>
    <w:rsid w:val="00D917E7"/>
    <w:rsid w:val="00D92D4A"/>
    <w:rsid w:val="00D92F68"/>
    <w:rsid w:val="00D942AF"/>
    <w:rsid w:val="00DA00B9"/>
    <w:rsid w:val="00DA24A3"/>
    <w:rsid w:val="00DA6AE7"/>
    <w:rsid w:val="00DB53E4"/>
    <w:rsid w:val="00DD4268"/>
    <w:rsid w:val="00DD63AB"/>
    <w:rsid w:val="00DF27D6"/>
    <w:rsid w:val="00DF2B7E"/>
    <w:rsid w:val="00E001C9"/>
    <w:rsid w:val="00E025CF"/>
    <w:rsid w:val="00E2019B"/>
    <w:rsid w:val="00E22D6F"/>
    <w:rsid w:val="00E23FDE"/>
    <w:rsid w:val="00E34F94"/>
    <w:rsid w:val="00E4394A"/>
    <w:rsid w:val="00E47286"/>
    <w:rsid w:val="00E56438"/>
    <w:rsid w:val="00E56E5F"/>
    <w:rsid w:val="00E57BAC"/>
    <w:rsid w:val="00E60190"/>
    <w:rsid w:val="00E66049"/>
    <w:rsid w:val="00E7425A"/>
    <w:rsid w:val="00E913B7"/>
    <w:rsid w:val="00E951A6"/>
    <w:rsid w:val="00EA1E44"/>
    <w:rsid w:val="00EA2177"/>
    <w:rsid w:val="00EA238D"/>
    <w:rsid w:val="00EA3934"/>
    <w:rsid w:val="00EA3CD1"/>
    <w:rsid w:val="00EB2216"/>
    <w:rsid w:val="00EB2658"/>
    <w:rsid w:val="00EB335E"/>
    <w:rsid w:val="00EC064B"/>
    <w:rsid w:val="00EC2270"/>
    <w:rsid w:val="00EC7115"/>
    <w:rsid w:val="00ED3BC2"/>
    <w:rsid w:val="00ED470A"/>
    <w:rsid w:val="00ED4C52"/>
    <w:rsid w:val="00EE451D"/>
    <w:rsid w:val="00EF4C41"/>
    <w:rsid w:val="00F01B14"/>
    <w:rsid w:val="00F06734"/>
    <w:rsid w:val="00F07C78"/>
    <w:rsid w:val="00F149C3"/>
    <w:rsid w:val="00F20FCF"/>
    <w:rsid w:val="00F22960"/>
    <w:rsid w:val="00F415BD"/>
    <w:rsid w:val="00F52012"/>
    <w:rsid w:val="00F569CD"/>
    <w:rsid w:val="00F57EA1"/>
    <w:rsid w:val="00F60467"/>
    <w:rsid w:val="00F622A9"/>
    <w:rsid w:val="00F806AE"/>
    <w:rsid w:val="00F809E4"/>
    <w:rsid w:val="00F840CF"/>
    <w:rsid w:val="00FA082F"/>
    <w:rsid w:val="00FA520F"/>
    <w:rsid w:val="00FD337D"/>
    <w:rsid w:val="00FF00DA"/>
    <w:rsid w:val="00FF5A56"/>
    <w:rsid w:val="00FF5F9B"/>
    <w:rsid w:val="00FF71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D5AD1"/>
  <w15:docId w15:val="{F0059508-8643-442E-AA72-EED4F2F8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C2D"/>
    <w:pPr>
      <w:tabs>
        <w:tab w:val="left" w:pos="3969"/>
      </w:tabs>
      <w:spacing w:after="60"/>
    </w:pPr>
    <w:rPr>
      <w:rFonts w:ascii="Arial" w:hAnsi="Arial"/>
      <w:lang w:eastAsia="en-US"/>
    </w:rPr>
  </w:style>
  <w:style w:type="paragraph" w:styleId="Heading1">
    <w:name w:val="heading 1"/>
    <w:next w:val="Heading2"/>
    <w:qFormat/>
    <w:rsid w:val="00BB3C2D"/>
    <w:pPr>
      <w:keepNext/>
      <w:numPr>
        <w:numId w:val="6"/>
      </w:numPr>
      <w:pBdr>
        <w:top w:val="single" w:sz="6" w:space="1" w:color="auto"/>
        <w:left w:val="single" w:sz="6" w:space="1" w:color="auto"/>
        <w:bottom w:val="single" w:sz="6" w:space="1" w:color="auto"/>
        <w:right w:val="single" w:sz="6" w:space="1" w:color="auto"/>
      </w:pBdr>
      <w:tabs>
        <w:tab w:val="right" w:pos="7655"/>
      </w:tabs>
      <w:spacing w:after="600"/>
      <w:outlineLvl w:val="0"/>
    </w:pPr>
    <w:rPr>
      <w:rFonts w:ascii="Arial" w:hAnsi="Arial"/>
      <w:b/>
      <w:caps/>
      <w:lang w:eastAsia="en-US"/>
    </w:rPr>
  </w:style>
  <w:style w:type="paragraph" w:styleId="Heading2">
    <w:name w:val="heading 2"/>
    <w:next w:val="Normal"/>
    <w:qFormat/>
    <w:rsid w:val="00BB3C2D"/>
    <w:pPr>
      <w:keepNext/>
      <w:numPr>
        <w:ilvl w:val="1"/>
        <w:numId w:val="6"/>
      </w:numPr>
      <w:pBdr>
        <w:bottom w:val="single" w:sz="6" w:space="1" w:color="auto"/>
      </w:pBdr>
      <w:spacing w:before="240" w:after="240"/>
      <w:outlineLvl w:val="1"/>
    </w:pPr>
    <w:rPr>
      <w:rFonts w:ascii="Arial" w:hAnsi="Arial"/>
      <w:b/>
      <w:caps/>
      <w:lang w:eastAsia="en-US"/>
    </w:rPr>
  </w:style>
  <w:style w:type="paragraph" w:styleId="Heading3">
    <w:name w:val="heading 3"/>
    <w:qFormat/>
    <w:rsid w:val="00BB3C2D"/>
    <w:pPr>
      <w:keepNext/>
      <w:numPr>
        <w:ilvl w:val="2"/>
        <w:numId w:val="6"/>
      </w:numPr>
      <w:spacing w:before="120" w:after="120"/>
      <w:outlineLvl w:val="2"/>
    </w:pPr>
    <w:rPr>
      <w:rFonts w:ascii="Arial" w:hAnsi="Arial"/>
      <w:b/>
      <w:caps/>
      <w:snapToGrid w:val="0"/>
      <w:lang w:eastAsia="en-US"/>
    </w:rPr>
  </w:style>
  <w:style w:type="paragraph" w:styleId="Heading4">
    <w:name w:val="heading 4"/>
    <w:next w:val="Normal"/>
    <w:qFormat/>
    <w:rsid w:val="00BB3C2D"/>
    <w:pPr>
      <w:keepNext/>
      <w:tabs>
        <w:tab w:val="left" w:pos="567"/>
        <w:tab w:val="left" w:pos="3969"/>
      </w:tabs>
      <w:spacing w:after="20"/>
      <w:outlineLvl w:val="3"/>
    </w:pPr>
    <w:rPr>
      <w:rFonts w:ascii="Arial" w:hAnsi="Arial"/>
      <w:b/>
      <w:lang w:eastAsia="en-US"/>
    </w:rPr>
  </w:style>
  <w:style w:type="paragraph" w:styleId="Heading5">
    <w:name w:val="heading 5"/>
    <w:basedOn w:val="Normal"/>
    <w:next w:val="Normal"/>
    <w:qFormat/>
    <w:rsid w:val="00BB3C2D"/>
    <w:pPr>
      <w:numPr>
        <w:ilvl w:val="4"/>
        <w:numId w:val="6"/>
      </w:numPr>
      <w:spacing w:before="240"/>
      <w:outlineLvl w:val="4"/>
    </w:pPr>
    <w:rPr>
      <w:sz w:val="22"/>
    </w:rPr>
  </w:style>
  <w:style w:type="paragraph" w:styleId="Heading6">
    <w:name w:val="heading 6"/>
    <w:basedOn w:val="Normal"/>
    <w:next w:val="Normal"/>
    <w:qFormat/>
    <w:rsid w:val="00BB3C2D"/>
    <w:pPr>
      <w:numPr>
        <w:ilvl w:val="5"/>
        <w:numId w:val="6"/>
      </w:numPr>
      <w:spacing w:before="240"/>
      <w:outlineLvl w:val="5"/>
    </w:pPr>
    <w:rPr>
      <w:i/>
      <w:sz w:val="22"/>
    </w:rPr>
  </w:style>
  <w:style w:type="paragraph" w:styleId="Heading7">
    <w:name w:val="heading 7"/>
    <w:basedOn w:val="Normal"/>
    <w:next w:val="Normal"/>
    <w:qFormat/>
    <w:rsid w:val="00BB3C2D"/>
    <w:pPr>
      <w:numPr>
        <w:ilvl w:val="6"/>
        <w:numId w:val="6"/>
      </w:numPr>
      <w:spacing w:before="240"/>
      <w:outlineLvl w:val="6"/>
    </w:pPr>
  </w:style>
  <w:style w:type="paragraph" w:styleId="Heading8">
    <w:name w:val="heading 8"/>
    <w:basedOn w:val="Normal"/>
    <w:next w:val="Normal"/>
    <w:qFormat/>
    <w:rsid w:val="00BB3C2D"/>
    <w:pPr>
      <w:numPr>
        <w:ilvl w:val="7"/>
        <w:numId w:val="6"/>
      </w:numPr>
      <w:spacing w:before="240"/>
      <w:outlineLvl w:val="7"/>
    </w:pPr>
    <w:rPr>
      <w:i/>
    </w:rPr>
  </w:style>
  <w:style w:type="paragraph" w:styleId="Heading9">
    <w:name w:val="heading 9"/>
    <w:basedOn w:val="Normal"/>
    <w:next w:val="Normal"/>
    <w:qFormat/>
    <w:rsid w:val="00BB3C2D"/>
    <w:pPr>
      <w:numPr>
        <w:ilvl w:val="8"/>
        <w:numId w:val="6"/>
      </w:numPr>
      <w:spacing w:before="240"/>
      <w:outlineLvl w:val="8"/>
    </w:pPr>
    <w:rPr>
      <w:i/>
    </w:rPr>
  </w:style>
  <w:style w:type="character" w:default="1" w:styleId="DefaultParagraphFont">
    <w:name w:val="Default Paragraph Font"/>
    <w:uiPriority w:val="1"/>
    <w:semiHidden/>
    <w:unhideWhenUsed/>
    <w:rsid w:val="00BB3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C2D"/>
  </w:style>
  <w:style w:type="paragraph" w:styleId="Footer">
    <w:name w:val="footer"/>
    <w:rsid w:val="00BB3C2D"/>
    <w:pPr>
      <w:tabs>
        <w:tab w:val="center" w:pos="4536"/>
        <w:tab w:val="right" w:pos="9072"/>
      </w:tabs>
    </w:pPr>
    <w:rPr>
      <w:rFonts w:ascii="Arial" w:hAnsi="Arial"/>
      <w:i/>
      <w:sz w:val="16"/>
      <w:szCs w:val="16"/>
      <w:lang w:eastAsia="en-US"/>
    </w:rPr>
  </w:style>
  <w:style w:type="paragraph" w:styleId="Header">
    <w:name w:val="header"/>
    <w:rsid w:val="00BB3C2D"/>
    <w:pPr>
      <w:pBdr>
        <w:bottom w:val="single" w:sz="6" w:space="4" w:color="auto"/>
      </w:pBdr>
      <w:tabs>
        <w:tab w:val="right" w:pos="9072"/>
      </w:tabs>
      <w:spacing w:after="200"/>
    </w:pPr>
    <w:rPr>
      <w:rFonts w:ascii="Arial" w:hAnsi="Arial"/>
      <w:b/>
      <w:i/>
      <w:lang w:eastAsia="en-US"/>
    </w:rPr>
  </w:style>
  <w:style w:type="paragraph" w:styleId="NormalIndent">
    <w:name w:val="Normal Indent"/>
    <w:rsid w:val="00BB3C2D"/>
    <w:pPr>
      <w:numPr>
        <w:numId w:val="5"/>
      </w:numPr>
      <w:tabs>
        <w:tab w:val="left" w:pos="210"/>
        <w:tab w:val="left" w:pos="3969"/>
      </w:tabs>
      <w:spacing w:after="60"/>
    </w:pPr>
    <w:rPr>
      <w:rFonts w:ascii="Arial" w:hAnsi="Arial"/>
      <w:lang w:eastAsia="en-US"/>
    </w:rPr>
  </w:style>
  <w:style w:type="paragraph" w:customStyle="1" w:styleId="Tabletext">
    <w:name w:val="Table text"/>
    <w:rsid w:val="00BB3C2D"/>
    <w:rPr>
      <w:rFonts w:ascii="Arial" w:hAnsi="Arial"/>
      <w:lang w:eastAsia="en-US"/>
    </w:rPr>
  </w:style>
  <w:style w:type="paragraph" w:customStyle="1" w:styleId="Tabletitle">
    <w:name w:val="Table title"/>
    <w:rsid w:val="00BB3C2D"/>
    <w:rPr>
      <w:rFonts w:ascii="Arial" w:hAnsi="Arial"/>
      <w:b/>
      <w:lang w:eastAsia="en-US"/>
    </w:rPr>
  </w:style>
  <w:style w:type="paragraph" w:customStyle="1" w:styleId="Tableindent">
    <w:name w:val="Table indent"/>
    <w:rsid w:val="00BB3C2D"/>
    <w:pPr>
      <w:numPr>
        <w:numId w:val="4"/>
      </w:numPr>
      <w:tabs>
        <w:tab w:val="left" w:pos="85"/>
      </w:tabs>
    </w:pPr>
    <w:rPr>
      <w:rFonts w:ascii="Arial" w:hAnsi="Arial"/>
      <w:lang w:eastAsia="en-US"/>
    </w:rPr>
  </w:style>
  <w:style w:type="paragraph" w:customStyle="1" w:styleId="NormalIndent2">
    <w:name w:val="Normal Indent 2"/>
    <w:rsid w:val="00BB3C2D"/>
    <w:pPr>
      <w:numPr>
        <w:numId w:val="3"/>
      </w:numPr>
      <w:tabs>
        <w:tab w:val="left" w:pos="420"/>
        <w:tab w:val="left" w:pos="3969"/>
      </w:tabs>
      <w:spacing w:after="60"/>
    </w:pPr>
    <w:rPr>
      <w:rFonts w:ascii="Arial" w:hAnsi="Arial"/>
      <w:lang w:eastAsia="en-US"/>
    </w:rPr>
  </w:style>
  <w:style w:type="paragraph" w:customStyle="1" w:styleId="NormalIndent3">
    <w:name w:val="Normal Indent 3"/>
    <w:rsid w:val="00BB3C2D"/>
    <w:pPr>
      <w:numPr>
        <w:numId w:val="2"/>
      </w:numPr>
      <w:tabs>
        <w:tab w:val="left" w:pos="420"/>
      </w:tabs>
      <w:spacing w:after="60"/>
    </w:pPr>
    <w:rPr>
      <w:rFonts w:ascii="Arial" w:hAnsi="Arial"/>
      <w:lang w:eastAsia="en-US"/>
    </w:rPr>
  </w:style>
  <w:style w:type="character" w:styleId="Hyperlink">
    <w:name w:val="Hyperlink"/>
    <w:rsid w:val="00BB3C2D"/>
    <w:rPr>
      <w:color w:val="0000FF"/>
      <w:u w:val="none"/>
      <w:bdr w:val="none" w:sz="0" w:space="0" w:color="auto"/>
    </w:rPr>
  </w:style>
  <w:style w:type="paragraph" w:customStyle="1" w:styleId="Guidancetabletext">
    <w:name w:val="Guidance table text"/>
    <w:basedOn w:val="Instructions"/>
    <w:rsid w:val="00BB3C2D"/>
    <w:pPr>
      <w:pBdr>
        <w:top w:val="none" w:sz="0" w:space="0" w:color="auto"/>
        <w:left w:val="none" w:sz="0" w:space="0" w:color="auto"/>
        <w:bottom w:val="none" w:sz="0" w:space="0" w:color="auto"/>
        <w:right w:val="none" w:sz="0" w:space="0" w:color="auto"/>
      </w:pBdr>
      <w:spacing w:after="0" w:line="240" w:lineRule="auto"/>
    </w:pPr>
    <w:rPr>
      <w:szCs w:val="16"/>
    </w:rPr>
  </w:style>
  <w:style w:type="character" w:customStyle="1" w:styleId="Bold">
    <w:name w:val="Bold"/>
    <w:rsid w:val="00BB3C2D"/>
    <w:rPr>
      <w:b/>
      <w:bCs/>
    </w:rPr>
  </w:style>
  <w:style w:type="character" w:customStyle="1" w:styleId="Italic">
    <w:name w:val="Italic"/>
    <w:rsid w:val="00BB3C2D"/>
    <w:rPr>
      <w:i/>
      <w:iCs/>
    </w:rPr>
  </w:style>
  <w:style w:type="character" w:customStyle="1" w:styleId="Symbol">
    <w:name w:val="Symbol"/>
    <w:rsid w:val="00BB3C2D"/>
    <w:rPr>
      <w:rFonts w:ascii="Symbol" w:hAnsi="Symbol"/>
    </w:rPr>
  </w:style>
  <w:style w:type="paragraph" w:customStyle="1" w:styleId="Instructions">
    <w:name w:val="Instructions"/>
    <w:basedOn w:val="Normal"/>
    <w:rsid w:val="00BB3C2D"/>
    <w:pPr>
      <w:pBdr>
        <w:top w:val="single" w:sz="4" w:space="1" w:color="auto"/>
        <w:left w:val="single" w:sz="4" w:space="4" w:color="auto"/>
        <w:bottom w:val="single" w:sz="4" w:space="1" w:color="auto"/>
        <w:right w:val="single" w:sz="4" w:space="4" w:color="auto"/>
      </w:pBdr>
      <w:spacing w:line="220" w:lineRule="exact"/>
    </w:pPr>
    <w:rPr>
      <w:vanish/>
      <w:color w:val="008000"/>
      <w:sz w:val="16"/>
    </w:rPr>
  </w:style>
  <w:style w:type="paragraph" w:customStyle="1" w:styleId="Instructionsindent">
    <w:name w:val="Instructions indent"/>
    <w:rsid w:val="00BB3C2D"/>
    <w:pPr>
      <w:numPr>
        <w:numId w:val="1"/>
      </w:numPr>
      <w:pBdr>
        <w:top w:val="single" w:sz="4" w:space="1" w:color="auto"/>
        <w:left w:val="single" w:sz="4" w:space="4" w:color="auto"/>
        <w:bottom w:val="single" w:sz="4" w:space="1" w:color="auto"/>
        <w:right w:val="single" w:sz="4" w:space="4" w:color="auto"/>
      </w:pBdr>
      <w:tabs>
        <w:tab w:val="left" w:pos="357"/>
      </w:tabs>
      <w:spacing w:after="60" w:line="220" w:lineRule="exact"/>
      <w:ind w:left="357" w:hanging="357"/>
    </w:pPr>
    <w:rPr>
      <w:rFonts w:ascii="Arial" w:hAnsi="Arial"/>
      <w:vanish/>
      <w:color w:val="008000"/>
      <w:sz w:val="16"/>
      <w:szCs w:val="16"/>
      <w:lang w:eastAsia="en-US"/>
    </w:rPr>
  </w:style>
  <w:style w:type="table" w:customStyle="1" w:styleId="NATSPECTable">
    <w:name w:val="NATSPEC Table"/>
    <w:basedOn w:val="TableNormal"/>
    <w:rsid w:val="00BB3C2D"/>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40" w:type="dxa"/>
        <w:bottom w:w="28" w:type="dxa"/>
        <w:right w:w="40" w:type="dxa"/>
      </w:tblCellMar>
    </w:tblPr>
  </w:style>
  <w:style w:type="character" w:styleId="PageNumber">
    <w:name w:val="page number"/>
    <w:rsid w:val="00BB3C2D"/>
  </w:style>
  <w:style w:type="paragraph" w:customStyle="1" w:styleId="Tableindent2">
    <w:name w:val="Table indent 2"/>
    <w:rsid w:val="00BB3C2D"/>
    <w:pPr>
      <w:numPr>
        <w:numId w:val="7"/>
      </w:numPr>
      <w:tabs>
        <w:tab w:val="left" w:pos="284"/>
      </w:tabs>
    </w:pPr>
    <w:rPr>
      <w:rFonts w:ascii="Arial" w:hAnsi="Arial"/>
      <w:lang w:eastAsia="en-US"/>
    </w:rPr>
  </w:style>
  <w:style w:type="paragraph" w:styleId="TOC1">
    <w:name w:val="toc 1"/>
    <w:basedOn w:val="Normal"/>
    <w:next w:val="Normal"/>
    <w:autoRedefine/>
    <w:semiHidden/>
    <w:rsid w:val="00BB3C2D"/>
    <w:pPr>
      <w:tabs>
        <w:tab w:val="clear" w:pos="3969"/>
      </w:tabs>
    </w:pPr>
    <w:rPr>
      <w:b/>
    </w:rPr>
  </w:style>
  <w:style w:type="paragraph" w:styleId="TOC2">
    <w:name w:val="toc 2"/>
    <w:basedOn w:val="Normal"/>
    <w:next w:val="Normal"/>
    <w:autoRedefine/>
    <w:semiHidden/>
    <w:rsid w:val="00BB3C2D"/>
    <w:pPr>
      <w:tabs>
        <w:tab w:val="clear" w:pos="3969"/>
      </w:tabs>
      <w:ind w:left="200"/>
    </w:pPr>
    <w:rPr>
      <w:b/>
    </w:rPr>
  </w:style>
  <w:style w:type="paragraph" w:customStyle="1" w:styleId="Instructionsindent2">
    <w:name w:val="Instructions indent 2"/>
    <w:rsid w:val="00BB3C2D"/>
    <w:pPr>
      <w:pBdr>
        <w:top w:val="single" w:sz="4" w:space="1" w:color="auto"/>
        <w:left w:val="single" w:sz="4" w:space="4" w:color="auto"/>
        <w:bottom w:val="single" w:sz="4" w:space="1" w:color="auto"/>
        <w:right w:val="single" w:sz="4" w:space="4" w:color="auto"/>
      </w:pBdr>
      <w:tabs>
        <w:tab w:val="left" w:pos="357"/>
        <w:tab w:val="left" w:pos="714"/>
      </w:tabs>
      <w:spacing w:after="60" w:line="220" w:lineRule="exact"/>
      <w:ind w:left="714" w:hanging="714"/>
    </w:pPr>
    <w:rPr>
      <w:rFonts w:ascii="Arial" w:hAnsi="Arial"/>
      <w:vanish/>
      <w:color w:val="008000"/>
      <w:sz w:val="16"/>
      <w:szCs w:val="16"/>
      <w:lang w:eastAsia="en-US"/>
    </w:rPr>
  </w:style>
  <w:style w:type="paragraph" w:customStyle="1" w:styleId="Prompt">
    <w:name w:val="Prompt"/>
    <w:basedOn w:val="Normal"/>
    <w:link w:val="PromptChar"/>
    <w:rsid w:val="00BB3C2D"/>
    <w:rPr>
      <w:color w:val="993300"/>
    </w:rPr>
  </w:style>
  <w:style w:type="paragraph" w:customStyle="1" w:styleId="Promptindent">
    <w:name w:val="Prompt indent"/>
    <w:basedOn w:val="NormalIndent"/>
    <w:rsid w:val="00BB3C2D"/>
    <w:pPr>
      <w:numPr>
        <w:numId w:val="9"/>
      </w:numPr>
    </w:pPr>
    <w:rPr>
      <w:color w:val="993300"/>
    </w:rPr>
  </w:style>
  <w:style w:type="paragraph" w:customStyle="1" w:styleId="Promptindent2">
    <w:name w:val="Prompt indent 2"/>
    <w:basedOn w:val="NormalIndent2"/>
    <w:rsid w:val="00BB3C2D"/>
    <w:pPr>
      <w:numPr>
        <w:numId w:val="10"/>
      </w:numPr>
    </w:pPr>
    <w:rPr>
      <w:color w:val="993300"/>
    </w:rPr>
  </w:style>
  <w:style w:type="paragraph" w:customStyle="1" w:styleId="Standard1">
    <w:name w:val="Standard 1"/>
    <w:rsid w:val="00BB3C2D"/>
    <w:pPr>
      <w:pBdr>
        <w:top w:val="single" w:sz="4" w:space="1" w:color="auto"/>
        <w:left w:val="single" w:sz="4" w:space="4" w:color="auto"/>
        <w:bottom w:val="single" w:sz="4" w:space="1" w:color="auto"/>
        <w:right w:val="single" w:sz="4" w:space="4" w:color="auto"/>
      </w:pBdr>
      <w:tabs>
        <w:tab w:val="left" w:pos="1985"/>
        <w:tab w:val="left" w:pos="2835"/>
      </w:tabs>
      <w:ind w:left="2835" w:hanging="2835"/>
    </w:pPr>
    <w:rPr>
      <w:rFonts w:ascii="Arial" w:hAnsi="Arial"/>
      <w:vanish/>
      <w:color w:val="008000"/>
      <w:sz w:val="16"/>
      <w:szCs w:val="16"/>
      <w:lang w:eastAsia="en-US"/>
    </w:rPr>
  </w:style>
  <w:style w:type="paragraph" w:customStyle="1" w:styleId="Standard2">
    <w:name w:val="Standard 2"/>
    <w:basedOn w:val="Standard1"/>
    <w:rsid w:val="00BB3C2D"/>
    <w:pPr>
      <w:tabs>
        <w:tab w:val="clear" w:pos="2835"/>
        <w:tab w:val="left" w:pos="3119"/>
      </w:tabs>
      <w:ind w:left="3119" w:hanging="3119"/>
    </w:pPr>
  </w:style>
  <w:style w:type="paragraph" w:customStyle="1" w:styleId="OptionalHeading3">
    <w:name w:val="Optional Heading 3"/>
    <w:basedOn w:val="Heading3"/>
    <w:qFormat/>
    <w:rsid w:val="00BB3C2D"/>
    <w:pPr>
      <w:numPr>
        <w:ilvl w:val="0"/>
        <w:numId w:val="0"/>
      </w:numPr>
      <w:shd w:val="clear" w:color="auto" w:fill="D9D9D9"/>
    </w:pPr>
    <w:rPr>
      <w:rFonts w:ascii="Calibri" w:hAnsi="Calibri"/>
      <w:vanish/>
      <w:color w:val="365F91"/>
    </w:rPr>
  </w:style>
  <w:style w:type="paragraph" w:customStyle="1" w:styleId="OptionalHeading4">
    <w:name w:val="Optional Heading 4"/>
    <w:basedOn w:val="Heading4"/>
    <w:qFormat/>
    <w:rsid w:val="00BB3C2D"/>
    <w:pPr>
      <w:shd w:val="clear" w:color="auto" w:fill="D9D9D9"/>
    </w:pPr>
    <w:rPr>
      <w:rFonts w:ascii="Calibri" w:hAnsi="Calibri"/>
      <w:vanish/>
      <w:color w:val="365F91"/>
    </w:rPr>
  </w:style>
  <w:style w:type="paragraph" w:customStyle="1" w:styleId="OptionalNormal">
    <w:name w:val="Optional Normal"/>
    <w:basedOn w:val="Normal"/>
    <w:qFormat/>
    <w:rsid w:val="00BB3C2D"/>
    <w:pPr>
      <w:shd w:val="clear" w:color="auto" w:fill="D9D9D9"/>
    </w:pPr>
    <w:rPr>
      <w:rFonts w:ascii="Calibri" w:hAnsi="Calibri"/>
      <w:vanish/>
      <w:color w:val="365F91"/>
    </w:rPr>
  </w:style>
  <w:style w:type="paragraph" w:customStyle="1" w:styleId="OptionalNormalIndent">
    <w:name w:val="Optional Normal Indent"/>
    <w:rsid w:val="00BB3C2D"/>
    <w:pPr>
      <w:numPr>
        <w:numId w:val="24"/>
      </w:numPr>
      <w:shd w:val="clear" w:color="auto" w:fill="D9D9D9"/>
      <w:tabs>
        <w:tab w:val="left" w:pos="210"/>
      </w:tabs>
      <w:spacing w:after="60"/>
    </w:pPr>
    <w:rPr>
      <w:rFonts w:ascii="Calibri" w:hAnsi="Calibri"/>
      <w:vanish/>
      <w:color w:val="365F91"/>
      <w:lang w:eastAsia="en-US"/>
    </w:rPr>
  </w:style>
  <w:style w:type="paragraph" w:customStyle="1" w:styleId="OptionalTabletext">
    <w:name w:val="Optional Table text"/>
    <w:basedOn w:val="Tabletext"/>
    <w:qFormat/>
    <w:rsid w:val="00BB3C2D"/>
    <w:pPr>
      <w:shd w:val="clear" w:color="auto" w:fill="D9D9D9"/>
    </w:pPr>
    <w:rPr>
      <w:rFonts w:ascii="Calibri" w:hAnsi="Calibri"/>
      <w:vanish/>
      <w:color w:val="365F91"/>
    </w:rPr>
  </w:style>
  <w:style w:type="paragraph" w:customStyle="1" w:styleId="OptionalTabletitle">
    <w:name w:val="Optional Table title"/>
    <w:basedOn w:val="Tabletitle"/>
    <w:qFormat/>
    <w:rsid w:val="00BB3C2D"/>
    <w:pPr>
      <w:shd w:val="clear" w:color="auto" w:fill="D9D9D9"/>
    </w:pPr>
    <w:rPr>
      <w:rFonts w:ascii="Calibri" w:hAnsi="Calibri"/>
      <w:vanish/>
      <w:color w:val="365F91"/>
    </w:rPr>
  </w:style>
  <w:style w:type="paragraph" w:customStyle="1" w:styleId="OptionalPromptindent">
    <w:name w:val="Optional Prompt indent"/>
    <w:basedOn w:val="Promptindent"/>
    <w:rsid w:val="00BB3C2D"/>
    <w:pPr>
      <w:numPr>
        <w:numId w:val="0"/>
      </w:numPr>
      <w:shd w:val="clear" w:color="auto" w:fill="D9D9D9"/>
    </w:pPr>
    <w:rPr>
      <w:rFonts w:ascii="Calibri" w:hAnsi="Calibri"/>
      <w:vanish/>
      <w:color w:val="17365D"/>
    </w:rPr>
  </w:style>
  <w:style w:type="paragraph" w:customStyle="1" w:styleId="OptionalNormalIndent2">
    <w:name w:val="Optional Normal Indent 2"/>
    <w:basedOn w:val="NormalIndent2"/>
    <w:qFormat/>
    <w:rsid w:val="00BB3C2D"/>
    <w:pPr>
      <w:numPr>
        <w:numId w:val="0"/>
      </w:numPr>
      <w:shd w:val="clear" w:color="auto" w:fill="D9D9D9"/>
      <w:tabs>
        <w:tab w:val="clear" w:pos="3969"/>
        <w:tab w:val="left" w:pos="210"/>
      </w:tabs>
    </w:pPr>
    <w:rPr>
      <w:rFonts w:ascii="Calibri" w:hAnsi="Calibri"/>
      <w:vanish/>
      <w:color w:val="365F95"/>
      <w:shd w:val="pct15" w:color="auto" w:fill="FFFFFF"/>
    </w:rPr>
  </w:style>
  <w:style w:type="paragraph" w:customStyle="1" w:styleId="InstructionsHeading4">
    <w:name w:val="Instructions Heading 4"/>
    <w:basedOn w:val="Instructions"/>
    <w:next w:val="Instructions"/>
    <w:qFormat/>
    <w:rsid w:val="005C3403"/>
    <w:rPr>
      <w:b/>
    </w:rPr>
  </w:style>
  <w:style w:type="character" w:customStyle="1" w:styleId="PromptChar">
    <w:name w:val="Prompt Char"/>
    <w:link w:val="Prompt"/>
    <w:rsid w:val="00B87EA6"/>
    <w:rPr>
      <w:rFonts w:ascii="Arial" w:hAnsi="Arial"/>
      <w:color w:val="993300"/>
      <w:lang w:eastAsia="en-US"/>
    </w:rPr>
  </w:style>
  <w:style w:type="character" w:styleId="PlaceholderText">
    <w:name w:val="Placeholder Text"/>
    <w:basedOn w:val="DefaultParagraphFont"/>
    <w:uiPriority w:val="99"/>
    <w:semiHidden/>
    <w:rsid w:val="000D2155"/>
    <w:rPr>
      <w:color w:val="808080"/>
    </w:rPr>
  </w:style>
  <w:style w:type="paragraph" w:styleId="BalloonText">
    <w:name w:val="Balloon Text"/>
    <w:basedOn w:val="Normal"/>
    <w:link w:val="BalloonTextChar"/>
    <w:rsid w:val="000D2155"/>
    <w:pPr>
      <w:spacing w:after="0"/>
    </w:pPr>
    <w:rPr>
      <w:rFonts w:ascii="Tahoma" w:hAnsi="Tahoma" w:cs="Tahoma"/>
      <w:sz w:val="16"/>
      <w:szCs w:val="16"/>
    </w:rPr>
  </w:style>
  <w:style w:type="character" w:customStyle="1" w:styleId="BalloonTextChar">
    <w:name w:val="Balloon Text Char"/>
    <w:basedOn w:val="DefaultParagraphFont"/>
    <w:link w:val="BalloonText"/>
    <w:rsid w:val="000D2155"/>
    <w:rPr>
      <w:rFonts w:ascii="Tahoma" w:eastAsiaTheme="minorHAnsi" w:hAnsi="Tahoma" w:cs="Tahoma"/>
      <w:sz w:val="16"/>
      <w:szCs w:val="16"/>
      <w:lang w:eastAsia="en-US"/>
    </w:rPr>
  </w:style>
  <w:style w:type="table" w:customStyle="1" w:styleId="Table-Item">
    <w:name w:val="Table-Item"/>
    <w:uiPriority w:val="99"/>
    <w:rsid w:val="006A05B6"/>
    <w:rPr>
      <w:rFonts w:asciiTheme="minorHAnsi" w:eastAsiaTheme="minorEastAsia" w:hAnsiTheme="minorHAnsi" w:cstheme="minorBidi"/>
      <w:lang w:eastAsia="zh-CN"/>
    </w:rPr>
    <w:tblPr>
      <w:tblInd w:w="0" w:type="dxa"/>
      <w:tblCellMar>
        <w:top w:w="0" w:type="dxa"/>
        <w:left w:w="108" w:type="dxa"/>
        <w:bottom w:w="0" w:type="dxa"/>
        <w:right w:w="108" w:type="dxa"/>
      </w:tblCellMar>
    </w:tblPr>
    <w:tblStylePr w:type="firstRow">
      <w:tblPr/>
      <w:tcPr>
        <w:shd w:val="clear" w:color="auto" w:fill="D9D9D9" w:themeFill="background1" w:themeFillShade="D9"/>
      </w:tcPr>
    </w:tblStylePr>
    <w:tblStylePr w:type="nwCell">
      <w:tblPr/>
      <w:tcPr>
        <w:tcBorders>
          <w:top w:val="nil"/>
          <w:left w:val="nil"/>
          <w:bottom w:val="nil"/>
          <w:right w:val="nil"/>
          <w:insideH w:val="nil"/>
          <w:insideV w:val="nil"/>
          <w:tl2br w:val="nil"/>
          <w:tr2bl w:val="nil"/>
        </w:tcBorders>
      </w:tcPr>
    </w:tblStylePr>
  </w:style>
  <w:style w:type="table" w:customStyle="1" w:styleId="lightgrey">
    <w:name w:val="light grey"/>
    <w:basedOn w:val="LightShading"/>
    <w:uiPriority w:val="99"/>
    <w:rsid w:val="006A05B6"/>
    <w:rPr>
      <w:lang w:val="en-US"/>
    </w:rP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A05B6"/>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Yellow">
    <w:name w:val="tableYellow"/>
    <w:basedOn w:val="TableNormal"/>
    <w:uiPriority w:val="99"/>
    <w:rsid w:val="006A05B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tblStylePr w:type="firstRow">
      <w:tblPr/>
      <w:tcPr>
        <w:shd w:val="clear" w:color="auto" w:fill="FFCC00"/>
      </w:tcPr>
    </w:tblStylePr>
  </w:style>
  <w:style w:type="table" w:customStyle="1" w:styleId="olasummarytable">
    <w:name w:val="ola_summary_table"/>
    <w:basedOn w:val="TableNormal"/>
    <w:uiPriority w:val="99"/>
    <w:rsid w:val="006A05B6"/>
    <w:rPr>
      <w:rFonts w:asciiTheme="minorHAnsi" w:eastAsiaTheme="minorHAnsi" w:hAnsiTheme="minorHAnsi" w:cstheme="minorBidi"/>
      <w:sz w:val="22"/>
      <w:szCs w:val="22"/>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9CE1F7"/>
    </w:tcPr>
  </w:style>
  <w:style w:type="paragraph" w:customStyle="1" w:styleId="ScheduleL2">
    <w:name w:val="Schedule L2"/>
    <w:basedOn w:val="Normal"/>
    <w:next w:val="Normal"/>
    <w:rsid w:val="006A05B6"/>
    <w:pPr>
      <w:keepNext/>
      <w:numPr>
        <w:ilvl w:val="1"/>
        <w:numId w:val="36"/>
      </w:numPr>
      <w:spacing w:before="280" w:after="140" w:line="280" w:lineRule="atLeast"/>
      <w:outlineLvl w:val="1"/>
    </w:pPr>
    <w:rPr>
      <w:spacing w:val="-10"/>
      <w:w w:val="95"/>
      <w:sz w:val="32"/>
      <w:lang w:eastAsia="zh-CN"/>
    </w:rPr>
  </w:style>
  <w:style w:type="numbering" w:customStyle="1" w:styleId="Clause">
    <w:name w:val="Clause"/>
    <w:uiPriority w:val="99"/>
    <w:rsid w:val="006A05B6"/>
    <w:pPr>
      <w:numPr>
        <w:numId w:val="34"/>
      </w:numPr>
    </w:pPr>
  </w:style>
  <w:style w:type="paragraph" w:customStyle="1" w:styleId="DefinitionL1">
    <w:name w:val="Definition L1"/>
    <w:basedOn w:val="Normal"/>
    <w:next w:val="Normal"/>
    <w:rsid w:val="006A05B6"/>
    <w:pPr>
      <w:numPr>
        <w:numId w:val="35"/>
      </w:numPr>
      <w:spacing w:after="140" w:line="280" w:lineRule="atLeast"/>
      <w:outlineLvl w:val="0"/>
    </w:pPr>
    <w:rPr>
      <w:rFonts w:ascii="Times New Roman" w:hAnsi="Times New Roman"/>
      <w:lang w:eastAsia="zh-CN"/>
    </w:rPr>
  </w:style>
  <w:style w:type="paragraph" w:customStyle="1" w:styleId="DefinitionL2">
    <w:name w:val="Definition L2"/>
    <w:basedOn w:val="Normal"/>
    <w:next w:val="Normal"/>
    <w:rsid w:val="006A05B6"/>
    <w:pPr>
      <w:numPr>
        <w:ilvl w:val="1"/>
        <w:numId w:val="35"/>
      </w:numPr>
      <w:spacing w:after="140" w:line="280" w:lineRule="atLeast"/>
      <w:outlineLvl w:val="1"/>
    </w:pPr>
    <w:rPr>
      <w:rFonts w:ascii="Times New Roman" w:hAnsi="Times New Roman"/>
      <w:lang w:eastAsia="zh-CN"/>
    </w:rPr>
  </w:style>
  <w:style w:type="paragraph" w:customStyle="1" w:styleId="DefinitionL3">
    <w:name w:val="Definition L3"/>
    <w:basedOn w:val="Normal"/>
    <w:next w:val="Normal"/>
    <w:rsid w:val="006A05B6"/>
    <w:pPr>
      <w:numPr>
        <w:ilvl w:val="2"/>
        <w:numId w:val="35"/>
      </w:numPr>
      <w:spacing w:after="140" w:line="280" w:lineRule="atLeast"/>
      <w:outlineLvl w:val="2"/>
    </w:pPr>
    <w:rPr>
      <w:rFonts w:ascii="Times New Roman" w:hAnsi="Times New Roman"/>
      <w:lang w:eastAsia="zh-CN"/>
    </w:rPr>
  </w:style>
  <w:style w:type="paragraph" w:customStyle="1" w:styleId="DefinitionL4">
    <w:name w:val="Definition L4"/>
    <w:basedOn w:val="Normal"/>
    <w:next w:val="Normal"/>
    <w:rsid w:val="006A05B6"/>
    <w:pPr>
      <w:numPr>
        <w:ilvl w:val="3"/>
        <w:numId w:val="35"/>
      </w:numPr>
      <w:spacing w:after="140" w:line="280" w:lineRule="atLeast"/>
      <w:outlineLvl w:val="3"/>
    </w:pPr>
    <w:rPr>
      <w:rFonts w:ascii="Times New Roman" w:hAnsi="Times New Roman"/>
      <w:lang w:eastAsia="zh-CN"/>
    </w:rPr>
  </w:style>
  <w:style w:type="numbering" w:customStyle="1" w:styleId="Schedule">
    <w:name w:val="Schedule"/>
    <w:uiPriority w:val="99"/>
    <w:rsid w:val="006A05B6"/>
    <w:pPr>
      <w:numPr>
        <w:numId w:val="36"/>
      </w:numPr>
    </w:pPr>
  </w:style>
  <w:style w:type="numbering" w:customStyle="1" w:styleId="Warranty">
    <w:name w:val="Warranty"/>
    <w:uiPriority w:val="99"/>
    <w:rsid w:val="006A05B6"/>
    <w:pPr>
      <w:numPr>
        <w:numId w:val="37"/>
      </w:numPr>
    </w:pPr>
  </w:style>
  <w:style w:type="numbering" w:customStyle="1" w:styleId="headinglist">
    <w:name w:val="heading list"/>
    <w:uiPriority w:val="99"/>
    <w:rsid w:val="006A05B6"/>
    <w:pPr>
      <w:numPr>
        <w:numId w:val="38"/>
      </w:numPr>
    </w:pPr>
  </w:style>
  <w:style w:type="numbering" w:customStyle="1" w:styleId="indexlist">
    <w:name w:val="index list"/>
    <w:uiPriority w:val="99"/>
    <w:rsid w:val="006A05B6"/>
    <w:pPr>
      <w:numPr>
        <w:numId w:val="39"/>
      </w:numPr>
    </w:pPr>
  </w:style>
  <w:style w:type="numbering" w:customStyle="1" w:styleId="unumberedlist">
    <w:name w:val="unumbered list"/>
    <w:uiPriority w:val="99"/>
    <w:rsid w:val="006A05B6"/>
    <w:pPr>
      <w:numPr>
        <w:numId w:val="40"/>
      </w:numPr>
    </w:pPr>
  </w:style>
  <w:style w:type="character" w:customStyle="1" w:styleId="delete">
    <w:name w:val="delete"/>
    <w:basedOn w:val="DefaultParagraphFont"/>
    <w:uiPriority w:val="1"/>
    <w:qFormat/>
    <w:rsid w:val="004463CE"/>
    <w:rPr>
      <w:bdr w:val="none" w:sz="0" w:space="0" w:color="auto"/>
      <w:shd w:val="clear" w:color="auto" w:fill="FFFF00"/>
    </w:rPr>
  </w:style>
  <w:style w:type="character" w:customStyle="1" w:styleId="insert">
    <w:name w:val="insert"/>
    <w:basedOn w:val="DefaultParagraphFont"/>
    <w:uiPriority w:val="1"/>
    <w:qFormat/>
    <w:rsid w:val="004463CE"/>
    <w:rPr>
      <w:bdr w:val="none" w:sz="0" w:space="0" w:color="auto"/>
      <w:shd w:val="clear" w:color="auto" w:fill="FFFF00"/>
    </w:rPr>
  </w:style>
  <w:style w:type="table" w:styleId="TableGrid">
    <w:name w:val="Table Grid"/>
    <w:basedOn w:val="TableNormal"/>
    <w:rsid w:val="0036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mptytable">
    <w:name w:val="Empty table"/>
    <w:basedOn w:val="TableNormal"/>
    <w:uiPriority w:val="99"/>
    <w:rsid w:val="00AD0420"/>
    <w:tblPr/>
  </w:style>
  <w:style w:type="paragraph" w:customStyle="1" w:styleId="TableStart">
    <w:name w:val="Table Start"/>
    <w:basedOn w:val="Normal"/>
    <w:qFormat/>
    <w:rsid w:val="00E60190"/>
  </w:style>
  <w:style w:type="paragraph" w:customStyle="1" w:styleId="TableEnd">
    <w:name w:val="Table End"/>
    <w:basedOn w:val="Normal"/>
    <w:qFormat/>
    <w:rsid w:val="00E60190"/>
  </w:style>
  <w:style w:type="paragraph" w:customStyle="1" w:styleId="AUSStandard1">
    <w:name w:val="AUS Standard 1"/>
    <w:basedOn w:val="Standard1"/>
    <w:rsid w:val="00BB3C2D"/>
    <w:pPr>
      <w:pBdr>
        <w:top w:val="none" w:sz="0" w:space="0" w:color="auto"/>
        <w:left w:val="none" w:sz="0" w:space="0" w:color="auto"/>
        <w:bottom w:val="none" w:sz="0" w:space="0" w:color="auto"/>
        <w:right w:val="none" w:sz="0" w:space="0" w:color="auto"/>
      </w:pBdr>
      <w:tabs>
        <w:tab w:val="clear" w:pos="1985"/>
        <w:tab w:val="clear" w:pos="2835"/>
        <w:tab w:val="left" w:pos="2552"/>
        <w:tab w:val="left" w:pos="3402"/>
      </w:tabs>
      <w:ind w:left="3402" w:hanging="3402"/>
    </w:pPr>
    <w:rPr>
      <w:vanish w:val="0"/>
      <w:color w:val="auto"/>
      <w:sz w:val="20"/>
    </w:rPr>
  </w:style>
  <w:style w:type="paragraph" w:customStyle="1" w:styleId="AUSStandard2">
    <w:name w:val="AUS Standard 2"/>
    <w:basedOn w:val="Standard2"/>
    <w:rsid w:val="00BB3C2D"/>
    <w:pPr>
      <w:pBdr>
        <w:top w:val="none" w:sz="0" w:space="0" w:color="auto"/>
        <w:left w:val="none" w:sz="0" w:space="0" w:color="auto"/>
        <w:bottom w:val="none" w:sz="0" w:space="0" w:color="auto"/>
        <w:right w:val="none" w:sz="0" w:space="0" w:color="auto"/>
      </w:pBdr>
      <w:tabs>
        <w:tab w:val="clear" w:pos="1985"/>
        <w:tab w:val="clear" w:pos="3119"/>
        <w:tab w:val="left" w:pos="2552"/>
        <w:tab w:val="left" w:pos="3686"/>
      </w:tabs>
      <w:ind w:left="3686" w:hanging="3686"/>
    </w:pPr>
    <w:rPr>
      <w:vanish w:val="0"/>
      <w:color w:val="auto"/>
      <w:sz w:val="20"/>
    </w:rPr>
  </w:style>
  <w:style w:type="paragraph" w:customStyle="1" w:styleId="External">
    <w:name w:val="External"/>
    <w:basedOn w:val="Normal"/>
    <w:qFormat/>
    <w:rsid w:val="008D68B9"/>
    <w:pPr>
      <w:shd w:val="clear" w:color="auto" w:fill="E5DFEC"/>
    </w:pPr>
    <w:rPr>
      <w:rFonts w:ascii="Cambria" w:hAnsi="Cambria"/>
      <w:color w:val="5F497A"/>
    </w:rPr>
  </w:style>
  <w:style w:type="paragraph" w:customStyle="1" w:styleId="Externalguidance">
    <w:name w:val="External guidance"/>
    <w:basedOn w:val="External"/>
    <w:qFormat/>
    <w:rsid w:val="008D68B9"/>
    <w:pPr>
      <w:pBdr>
        <w:top w:val="single" w:sz="4" w:space="1" w:color="auto"/>
        <w:left w:val="single" w:sz="4" w:space="4" w:color="auto"/>
        <w:bottom w:val="single" w:sz="4" w:space="1" w:color="auto"/>
        <w:right w:val="single" w:sz="4" w:space="4" w:color="auto"/>
      </w:pBdr>
    </w:pPr>
  </w:style>
  <w:style w:type="paragraph" w:customStyle="1" w:styleId="Externalheading4">
    <w:name w:val="External heading 4"/>
    <w:basedOn w:val="External"/>
    <w:qFormat/>
    <w:rsid w:val="008D68B9"/>
    <w:rPr>
      <w:b/>
      <w:bCs/>
    </w:rPr>
  </w:style>
  <w:style w:type="paragraph" w:customStyle="1" w:styleId="Externalindent">
    <w:name w:val="External indent"/>
    <w:basedOn w:val="External"/>
    <w:qFormat/>
    <w:rsid w:val="008D68B9"/>
    <w:pPr>
      <w:numPr>
        <w:numId w:val="41"/>
      </w:numPr>
    </w:pPr>
  </w:style>
  <w:style w:type="paragraph" w:customStyle="1" w:styleId="Externalindent2">
    <w:name w:val="External indent 2"/>
    <w:basedOn w:val="Externalindent"/>
    <w:qFormat/>
    <w:rsid w:val="00147FF6"/>
    <w:pPr>
      <w:ind w:left="641" w:hanging="357"/>
    </w:pPr>
  </w:style>
  <w:style w:type="paragraph" w:customStyle="1" w:styleId="Externalpromptindent">
    <w:name w:val="External prompt indent"/>
    <w:basedOn w:val="Promptindent"/>
    <w:qFormat/>
    <w:rsid w:val="003806E9"/>
    <w:pPr>
      <w:shd w:val="clear" w:color="auto" w:fill="E5DFEC" w:themeFill="accent4" w:themeFillTint="33"/>
    </w:pPr>
    <w:rPr>
      <w:color w:val="5F497A" w:themeColor="accent4" w:themeShade="BF"/>
    </w:rPr>
  </w:style>
  <w:style w:type="paragraph" w:customStyle="1" w:styleId="Externalprompt">
    <w:name w:val="External prompt"/>
    <w:basedOn w:val="Prompt"/>
    <w:link w:val="ExternalpromptChar"/>
    <w:qFormat/>
    <w:rsid w:val="003806E9"/>
    <w:pPr>
      <w:shd w:val="clear" w:color="auto" w:fill="E5DFEC" w:themeFill="accent4" w:themeFillTint="33"/>
    </w:pPr>
    <w:rPr>
      <w:color w:val="5F497A" w:themeColor="accent4" w:themeShade="BF"/>
    </w:rPr>
  </w:style>
  <w:style w:type="character" w:customStyle="1" w:styleId="ExternalpromptChar">
    <w:name w:val="External prompt Char"/>
    <w:basedOn w:val="PromptChar"/>
    <w:link w:val="Externalprompt"/>
    <w:rsid w:val="003806E9"/>
    <w:rPr>
      <w:rFonts w:ascii="Arial" w:hAnsi="Arial"/>
      <w:color w:val="5F497A" w:themeColor="accent4" w:themeShade="BF"/>
      <w:shd w:val="clear" w:color="auto" w:fill="E5DFEC" w:themeFill="accent4" w:themeFillTint="33"/>
      <w:lang w:eastAsia="en-US"/>
    </w:rPr>
  </w:style>
  <w:style w:type="paragraph" w:customStyle="1" w:styleId="Externalpromptindent2">
    <w:name w:val="External prompt indent 2"/>
    <w:basedOn w:val="Promptindent2"/>
    <w:qFormat/>
    <w:rsid w:val="003806E9"/>
    <w:pPr>
      <w:shd w:val="clear" w:color="auto" w:fill="E5DFEC" w:themeFill="accent4" w:themeFillTint="33"/>
    </w:pPr>
    <w:rPr>
      <w:color w:val="5F497A" w:themeColor="accent4" w:themeShade="BF"/>
    </w:rPr>
  </w:style>
  <w:style w:type="character" w:styleId="ps_inl_NSPrompt">
    <w:name w:val="ps_inl_NSPrompt"/>
    <w:basedOn w:val="Normal"/>
    <w:rPr>
      <w:bdr w:val="single" w:sz="4" w:space="0" w:color="D99594" w:themeColor="accent2" w:themeTint="99"/>
    </w:rPr>
  </w:style>
  <w:style w:type="character" w:styleId="ps_inl_NStab">
    <w:name w:val="ps_inl_NStab"/>
    <w:basedOn w:val="Normal"/>
    <w:rPr>
      <w:bdr w:val="single" w:sz="4" w:space="0" w:color="D99594" w:themeColor="accent2" w:themeTint="99"/>
    </w:rPr>
  </w:style>
  <w:style w:type="paragraph" w:styleId="ps_blk_reference">
    <w:name w:val="ps_blk_reference"/>
    <w:basedOn w:val="Normal"/>
    <w:pPr>
      <w:pBdr>
        <w:top w:val="single" w:sz="4" w:space="1" w:color="8DB3E2" w:themeColor="text2" w:themeTint="66"/>
        <w:left w:val="single" w:sz="4" w:space="4" w:color="8DB3E2" w:themeColor="text2" w:themeTint="66"/>
        <w:bottom w:val="single" w:sz="4" w:space="1" w:color="8DB3E2" w:themeColor="text2" w:themeTint="66"/>
        <w:right w:val="single" w:sz="4" w:space="4" w:color="8DB3E2" w:themeColor="text2"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rian\Downloads\natspe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docParts>
    <w:docPart>
      <w:docPartPr>
        <w:name w:val="31BECDE4F6EA497FB26583C3D3546F63"/>
        <w:category>
          <w:name w:val="General"/>
          <w:gallery w:val="placeholder"/>
        </w:category>
        <w:types>
          <w:type w:val="bbPlcHdr"/>
        </w:types>
        <w:behaviors>
          <w:behavior w:val="content"/>
        </w:behaviors>
        <w:guid w:val="{54F6FF40-1C9E-429A-BEED-B72786BB63DF}"/>
      </w:docPartPr>
      <w:docPartBody>
        <w:p w:rsidR="00E862B3" w:rsidRDefault="00925E69">
          <w:r w:rsidRPr="00D90C48">
            <w:rPr>
              <w:rStyle w:val="PlaceholderText"/>
            </w:rPr>
            <w:t>[Category]</w:t>
          </w:r>
        </w:p>
      </w:docPartBody>
    </w:docPart>
    <w:docPart>
      <w:docPartPr>
        <w:name w:val="51F9EEBBD2D0489D9B33E0E90B72CD55"/>
        <w:category>
          <w:name w:val="General"/>
          <w:gallery w:val="placeholder"/>
        </w:category>
        <w:types>
          <w:type w:val="bbPlcHdr"/>
        </w:types>
        <w:behaviors>
          <w:behavior w:val="content"/>
        </w:behaviors>
        <w:guid w:val="{DF21B762-E6BE-47A5-802E-C31FB5007A76}"/>
      </w:docPartPr>
      <w:docPartBody>
        <w:p w:rsidR="00B35BAE" w:rsidRDefault="00025310">
          <w:r w:rsidRPr="00B6453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E69"/>
    <w:rsid w:val="00025310"/>
    <w:rsid w:val="000960B6"/>
    <w:rsid w:val="002376A7"/>
    <w:rsid w:val="00323590"/>
    <w:rsid w:val="004744FA"/>
    <w:rsid w:val="0050677F"/>
    <w:rsid w:val="005D61DE"/>
    <w:rsid w:val="00612502"/>
    <w:rsid w:val="00634E37"/>
    <w:rsid w:val="006F45E4"/>
    <w:rsid w:val="00852C26"/>
    <w:rsid w:val="008E193B"/>
    <w:rsid w:val="00925E69"/>
    <w:rsid w:val="00933870"/>
    <w:rsid w:val="00971462"/>
    <w:rsid w:val="00A7620C"/>
    <w:rsid w:val="00B35BAE"/>
    <w:rsid w:val="00C21B33"/>
    <w:rsid w:val="00C2262B"/>
    <w:rsid w:val="00C643B6"/>
    <w:rsid w:val="00C77804"/>
    <w:rsid w:val="00CA2380"/>
    <w:rsid w:val="00DB145A"/>
    <w:rsid w:val="00E862B3"/>
    <w:rsid w:val="00F55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E6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53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4E7705AF8E94C9F27494AF2908D16" ma:contentTypeVersion="13" ma:contentTypeDescription="Create a new document." ma:contentTypeScope="" ma:versionID="c594ac9c6b92f8b26f7edb1723c40115">
  <xsd:schema xmlns:xsd="http://www.w3.org/2001/XMLSchema" xmlns:xs="http://www.w3.org/2001/XMLSchema" xmlns:p="http://schemas.microsoft.com/office/2006/metadata/properties" xmlns:ns2="de773634-718a-4844-aab4-533a91d507cc" xmlns:ns3="0ff0ab3b-65a4-414a-a24f-e750f80b11d6" targetNamespace="http://schemas.microsoft.com/office/2006/metadata/properties" ma:root="true" ma:fieldsID="24b139a6f17bd7ecd884fb09d01fb2f5" ns2:_="" ns3:_="">
    <xsd:import namespace="de773634-718a-4844-aab4-533a91d507cc"/>
    <xsd:import namespace="0ff0ab3b-65a4-414a-a24f-e750f80b11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3634-718a-4844-aab4-533a91d50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c6b369-67d4-4673-ad2b-fd6a8b273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f0ab3b-65a4-414a-a24f-e750f80b11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f1b8d2-814c-4cd6-823c-66c86a919cc8}" ma:internalName="TaxCatchAll" ma:showField="CatchAllData" ma:web="0ff0ab3b-65a4-414a-a24f-e750f80b1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f0ab3b-65a4-414a-a24f-e750f80b11d6" xsi:nil="true"/>
    <lcf76f155ced4ddcb4097134ff3c332f xmlns="de773634-718a-4844-aab4-533a91d507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1252FC-2E39-44BF-BAA4-879E4501AFEC}"/>
</file>

<file path=customXml/itemProps2.xml><?xml version="1.0" encoding="utf-8"?>
<ds:datastoreItem xmlns:ds="http://schemas.openxmlformats.org/officeDocument/2006/customXml" ds:itemID="{9C54C6FE-B28E-4A49-A11A-AD9A715C3590}"/>
</file>

<file path=customXml/itemProps3.xml><?xml version="1.0" encoding="utf-8"?>
<ds:datastoreItem xmlns:ds="http://schemas.openxmlformats.org/officeDocument/2006/customXml" ds:itemID="{BD498AA4-5B52-4B1C-A48E-E664448A5F43}"/>
</file>

<file path=docProps/app.xml><?xml version="1.0" encoding="utf-8"?>
<Properties xmlns="http://schemas.openxmlformats.org/officeDocument/2006/extended-properties" xmlns:vt="http://schemas.openxmlformats.org/officeDocument/2006/docPropsVTypes">
  <Template>natspec.dotm</Template>
  <TotalTime>46</TotalTime>
  <Pages>14</Pages>
  <Words>5381</Words>
  <Characters>30672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NATSPEC Template File</vt:lpstr>
    </vt:vector>
  </TitlesOfParts>
  <Company>Construction Information Systems Australia Pty Ltd</Company>
  <LinksUpToDate>false</LinksUpToDate>
  <CharactersWithSpaces>35982</CharactersWithSpaces>
  <SharedDoc>false</SharedDoc>
  <HLinks>
    <vt:vector size="12" baseType="variant">
      <vt:variant>
        <vt:i4>2687099</vt:i4>
      </vt:variant>
      <vt:variant>
        <vt:i4>3</vt:i4>
      </vt:variant>
      <vt:variant>
        <vt:i4>0</vt:i4>
      </vt:variant>
      <vt:variant>
        <vt:i4>5</vt:i4>
      </vt:variant>
      <vt:variant>
        <vt:lpwstr>http://acumen.architecture.com.au/</vt:lpwstr>
      </vt:variant>
      <vt:variant>
        <vt:lpwstr/>
      </vt:variant>
      <vt:variant>
        <vt:i4>6422589</vt:i4>
      </vt:variant>
      <vt:variant>
        <vt:i4>0</vt:i4>
      </vt:variant>
      <vt:variant>
        <vt:i4>0</vt:i4>
      </vt:variant>
      <vt:variant>
        <vt:i4>5</vt:i4>
      </vt:variant>
      <vt:variant>
        <vt:lpwstr>http://www.natspec.com.au/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0657p APC Resin based seamless flooring.docx</dc:title>
  <dc:subject>Oct 26</dc:subject>
  <dc:description>Document generated by PageSeeder.</dc:description>
  <cp:category>06 FINISH</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0x010100A834E7705AF8E94C9F27494AF2908D16</vt:lpwstr>
  </property>
</Properties>
</file>