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http://schemas.openxmlformats.org/wordprocessingml/2006/main">
  <w:body>
    <w:bookmarkStart w:name="f-90445" w:id="0"/>
    <w:bookmarkEnd w:id="0"/>
    <w:bookmarkStart w:name="f-90445-worksection-current" w:id="1"/>
    <w:bookmarkStart w:name="f-72267" w:id="2"/>
    <w:bookmarkStart w:name="f-72267-content1" w:id="3"/>
    <w:p>
      <w:pPr>
        <w:pStyle w:val="Heading1"/>
      </w:pPr>
      <w:bookmarkStart w:name="h-72267-content1" w:id="4"/>
      <w:r>
        <w:rPr/>
        <w:t xml:space="preserve">0672p WATTYL – GRANOSITE textured and membrane coatings</w:t>
      </w:r>
      <w:bookmarkEnd w:id="4"/>
    </w:p>
    <w:bookmarkEnd w:id="3"/>
    <w:bookmarkEnd w:id="2"/>
    <w:bookmarkStart w:name="f-64966" w:id="5"/>
    <w:bookmarkStart w:name="f-64966-content1" w:id="6"/>
    <w:p>
      <w:pPr>
        <w:pStyle w:val="InstructionsHeading4"/>
      </w:pPr>
      <w:r>
        <w:rPr/>
        <w:t xml:space="preserve">Branded worksection</w:t>
      </w:r>
    </w:p>
    <w:p>
      <w:pPr>
        <w:pStyle w:val="Instructions"/>
      </w:pPr>
      <w:r>
        <w:rPr/>
        <w:t xml:space="preserve">This branded worksection </w:t>
      </w:r>
      <w:r>
        <w:rPr>
          <w:i/>
        </w:rPr>
        <w:t xml:space="preserve">Template</w:t>
      </w:r>
      <w:r>
        <w:rPr/>
        <w:t xml:space="preserve"> has been developed by NATSPEC in conjunction with </w:t>
      </w:r>
      <w:r>
        <w:rPr>
          <w:b/>
        </w:rPr>
        <w:t xml:space="preserve">WATTYL</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"http://www.natspec.com.au/" </w:instrText>
      </w:r>
      <w:r>
        <w:fldChar w:fldCharType="separate"/>
      </w:r>
      <w:r>
        <w:rPr>
          <w:rStyle w:val="Hyperlink"/>
        </w:rPr>
        <w:t>www.natspec.com.au</w:t>
      </w:r>
      <w:r>
        <w:fldChar w:fldCharType="end"/>
      </w:r>
      <w:r>
        <w:rPr/>
        <w:t xml:space="preserve">for the latest updated version.</w:t>
      </w:r>
    </w:p>
    <w:bookmarkEnd w:id="6"/>
    <w:bookmarkEnd w:id="5"/>
    <w:bookmarkStart w:name="f-182599" w:id="7"/>
    <w:bookmarkStart w:name="f-182599-1" w:id="8"/>
    <w:p>
      <w:pPr>
        <w:pStyle w:val="InstructionsHeading4"/>
      </w:pPr>
      <w:r>
        <w:rPr/>
        <w:t xml:space="preserve">Background</w:t>
      </w:r>
    </w:p>
    <w:p>
      <w:pPr>
        <w:pStyle w:val="Instructions"/>
      </w:pPr>
      <w:r>
        <w:rPr/>
        <w:t xml:space="preserve">Coating systems are multi-layer systems that may be used as a decorative finish and provide water resistance.</w:t>
      </w:r>
    </w:p>
    <w:bookmarkEnd w:id="8"/>
    <w:bookmarkEnd w:id="7"/>
    <w:bookmarkStart w:name="f-2_110351" w:id="9"/>
    <w:bookmarkStart w:name="f-2_110351-1" w:id="10"/>
    <w:p>
      <w:pPr>
        <w:pStyle w:val="InstructionsHeading4"/>
      </w:pPr>
      <w:r>
        <w:rPr/>
        <w:t xml:space="preserve">Worksection abstract</w:t>
      </w:r>
    </w:p>
    <w:p>
      <w:pPr>
        <w:pStyle w:val="Instructions"/>
      </w:pPr>
      <w:r>
        <w:rPr/>
        <w:t xml:space="preserve">This worksection </w:t>
      </w:r>
      <w:r>
        <w:rPr>
          <w:i/>
        </w:rPr>
        <w:t xml:space="preserve">Template</w:t>
      </w:r>
      <w:r>
        <w:rPr/>
        <w:t xml:space="preserve"> is applicable to the in situ application of GRANOSITE latex extensible (membrane) coating and textured surface coating systems to buildings and interior elements. The primary referenced standard is AS/NZS 2311 which provides a guide to products and procedures for the painting of buildings for general domestic, commercial and industrial use.</w:t>
      </w:r>
    </w:p>
    <w:bookmarkEnd w:id="10"/>
    <w:bookmarkEnd w:id="9"/>
    <w:bookmarkStart w:name="f-99906" w:id="11"/>
    <w:bookmarkStart w:name="f-99906-2" w:id="12"/>
    <w:p>
      <w:pPr>
        <w:pStyle w:val="InstructionsHeading4"/>
      </w:pPr>
      <w:r>
        <w:rPr>
          <w:i/>
        </w:rPr>
        <w:t xml:space="preserve">Guidance</w:t>
      </w:r>
      <w:r>
        <w:rPr/>
        <w:t xml:space="preserve"> text</w:t>
      </w:r>
    </w:p>
    <w:p>
      <w:pPr>
        <w:pStyle w:val="Instructions"/>
      </w:pPr>
      <w:r>
        <w:rPr/>
        <w:t xml:space="preserve">All text within these boxes is provided as guidance for developing this worksection and should not form part of the final specification. This </w:t>
      </w:r>
      <w:r>
        <w:rPr>
          <w:i/>
        </w:rPr>
        <w:t xml:space="preserve">Guidance</w:t>
      </w:r>
      <w:r>
        <w:rPr/>
        <w:t xml:space="preserve"> text may be hidden or deleted from the document using the hidden text </w:t>
      </w:r>
      <w:r>
        <w:rPr>
          <w:i/>
        </w:rPr>
        <w:t xml:space="preserve">Hide</w:t>
      </w:r>
      <w:r>
        <w:rPr/>
        <w:t xml:space="preserve"> and </w:t>
      </w:r>
      <w:r>
        <w:rPr>
          <w:i/>
        </w:rPr>
        <w:t xml:space="preserve">Delete</w:t>
      </w:r>
      <w:r>
        <w:rPr/>
        <w:t xml:space="preserve"> functions of your word processing system. For additional information visit FAQs at </w:t>
      </w:r>
      <w:r>
        <w:fldChar w:fldCharType="begin"/>
      </w:r>
      <w:r>
        <w:instrText xml:space="preserve"> HYPERLINK "http://www.natspec.com.au/" </w:instrText>
      </w:r>
      <w:r>
        <w:fldChar w:fldCharType="separate"/>
      </w:r>
      <w:r>
        <w:rPr>
          <w:rStyle w:val="Hyperlink"/>
        </w:rPr>
        <w:t>www.natspec.com.au</w:t>
      </w:r>
      <w:r>
        <w:fldChar w:fldCharType="end"/>
      </w:r>
      <w:r>
        <w:rPr/>
        <w:t xml:space="preserve">.</w:t>
      </w:r>
    </w:p>
    <w:bookmarkEnd w:id="12"/>
    <w:bookmarkEnd w:id="11"/>
    <w:bookmarkStart w:name="f-99904" w:id="13"/>
    <w:bookmarkStart w:name="f-99904-3" w:id="14"/>
    <w:p>
      <w:pPr>
        <w:pStyle w:val="OptionalHeading4"/>
      </w:pPr>
      <w:r>
        <w:rPr>
          <w:i/>
        </w:rPr>
        <w:t xml:space="preserve">Optional</w:t>
      </w:r>
      <w:r>
        <w:rPr/>
        <w:t xml:space="preserve"> style text</w:t>
      </w:r>
    </w:p>
    <w:p>
      <w:pPr>
        <w:pStyle w:val="OptionalNormal"/>
      </w:pPr>
      <w:r>
        <w:rPr/>
        <w:t xml:space="preserve">Text in this font (blue with a grey background) covers items specified less frequently. It is provided for incorporation into </w:t>
      </w:r>
      <w:r>
        <w:rPr>
          <w:i/>
        </w:rPr>
        <w:t xml:space="preserve">Normal</w:t>
      </w:r>
      <w:r>
        <w:rPr/>
        <w:t xml:space="preserve"> style text where it is applicable to a project.</w:t>
      </w:r>
    </w:p>
    <w:bookmarkEnd w:id="14"/>
    <w:bookmarkEnd w:id="13"/>
    <w:bookmarkStart w:name="f-72250" w:id="15"/>
    <w:bookmarkStart w:name="f-72250-content1" w:id="16"/>
    <w:p>
      <w:pPr>
        <w:pStyle w:val="InstructionsHeading4"/>
      </w:pPr>
      <w:r>
        <w:rPr/>
        <w:t xml:space="preserve">Related material located elsewhere in NATSPEC</w:t>
      </w:r>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For example:</w:t>
      </w:r>
    </w:p>
    <w:p>
      <w:pPr>
        <w:pStyle w:val="Instructionsindent"/>
      </w:pPr>
      <w:r>
        <w:rPr>
          <w:i/>
        </w:rPr>
        <w:t xml:space="preserve">0345P WATTYL steel protective paint coatings</w:t>
      </w:r>
      <w:r>
        <w:rPr/>
        <w:t xml:space="preserve">.</w:t>
      </w:r>
    </w:p>
    <w:p>
      <w:pPr>
        <w:pStyle w:val="Instructionsindent"/>
      </w:pPr>
      <w:r>
        <w:rPr>
          <w:i/>
        </w:rPr>
        <w:t xml:space="preserve">0671p WATTYL painting</w:t>
      </w:r>
      <w:r>
        <w:rPr/>
        <w:t xml:space="preserve">.</w:t>
      </w:r>
    </w:p>
    <w:bookmarkEnd w:id="16"/>
    <w:bookmarkEnd w:id="15"/>
    <w:bookmarkStart w:name="f-110854" w:id="17"/>
    <w:bookmarkStart w:name="f-110854-1" w:id="18"/>
    <w:p>
      <w:pPr>
        <w:pStyle w:val="InstructionsHeading4"/>
      </w:pPr>
      <w:r>
        <w:rPr/>
        <w:t xml:space="preserve">Documenting this and related work</w:t>
      </w:r>
    </w:p>
    <w:p>
      <w:pPr>
        <w:pStyle w:val="Instructions"/>
      </w:pPr>
      <w:r>
        <w:rPr/>
        <w:t xml:space="preserve">You may document this and related work as follows:</w:t>
      </w:r>
    </w:p>
    <w:p>
      <w:pPr>
        <w:pStyle w:val="Instructionsindent"/>
      </w:pPr>
      <w:r>
        <w:rPr/>
        <w:t xml:space="preserve">Adapt the schedules in </w:t>
      </w:r>
      <w:r>
        <w:rPr>
          <w:b/>
        </w:rPr>
        <w:t xml:space="preserve">SELECTIONS</w:t>
      </w:r>
      <w:r>
        <w:rPr/>
        <w:t xml:space="preserve"> to a Finishes schedule to your office documentation policy.</w:t>
      </w:r>
    </w:p>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p>
      <w:pPr>
        <w:pStyle w:val="Instructions"/>
      </w:pPr>
      <w:r>
        <w:rPr/>
        <w:t xml:space="preserve">Search </w:t>
      </w:r>
      <w:r>
        <w:fldChar w:fldCharType="begin"/>
      </w:r>
      <w:r>
        <w:instrText xml:space="preserve"> HYPERLINK "http://acumen.architecture.com.au" </w:instrText>
      </w:r>
      <w:r>
        <w:fldChar w:fldCharType="separate"/>
      </w:r>
      <w:r>
        <w:rPr>
          <w:rStyle w:val="Hyperlink"/>
        </w:rPr>
        <w:t>acumen.architecture.com.au</w:t>
      </w:r>
      <w:r>
        <w:fldChar w:fldCharType="end"/>
      </w:r>
      <w:r>
        <w:rPr/>
        <w:t xml:space="preserve">, the Australian Institute of Architects’ practice advisory subscription service, for notes on the following:</w:t>
      </w:r>
    </w:p>
    <w:p>
      <w:pPr>
        <w:pStyle w:val="Instructionsindent"/>
      </w:pPr>
      <w:r>
        <w:rPr/>
        <w:t xml:space="preserve">Paint.</w:t>
      </w:r>
    </w:p>
    <w:p>
      <w:pPr>
        <w:pStyle w:val="Instructionsindent"/>
      </w:pPr>
      <w:r>
        <w:rPr/>
        <w:t xml:space="preserve">Guarantees and warranties.</w:t>
      </w:r>
    </w:p>
    <w:bookmarkEnd w:id="18"/>
    <w:bookmarkEnd w:id="17"/>
    <w:bookmarkStart w:name="f-110855" w:id="19"/>
    <w:bookmarkStart w:name="f-110855-1" w:id="20"/>
    <w:p>
      <w:pPr>
        <w:pStyle w:val="InstructionsHeading4"/>
      </w:pPr>
      <w:r>
        <w:rPr/>
        <w:t xml:space="preserve">Specifying ESD</w:t>
      </w:r>
    </w:p>
    <w:p>
      <w:pPr>
        <w:pStyle w:val="Instructions"/>
      </w:pPr>
      <w:r>
        <w:rPr/>
        <w:t xml:space="preserve">The following may be specified by including additional text:</w:t>
      </w:r>
    </w:p>
    <w:p>
      <w:pPr>
        <w:pStyle w:val="Instructionsindent"/>
      </w:pPr>
      <w:r>
        <w:rPr/>
        <w:t xml:space="preserve">Coatings with low/zero VOC emission.</w:t>
      </w:r>
    </w:p>
    <w:p>
      <w:pPr>
        <w:pStyle w:val="Instructionsindent"/>
      </w:pPr>
      <w:r>
        <w:rPr/>
        <w:t xml:space="preserve">Recycled material, e.g. recycled glass.</w:t>
      </w:r>
    </w:p>
    <w:p>
      <w:pPr>
        <w:pStyle w:val="Instructionsindent"/>
      </w:pPr>
      <w:r>
        <w:rPr/>
        <w:t xml:space="preserve">Waterborne instead of solvent borne coatings.</w:t>
      </w:r>
    </w:p>
    <w:p>
      <w:pPr>
        <w:pStyle w:val="Instructionsindent"/>
      </w:pPr>
      <w:r>
        <w:rPr/>
        <w:t xml:space="preserve">Coatings with recovery programs for unused/unwanted paints.</w:t>
      </w:r>
    </w:p>
    <w:p>
      <w:pPr>
        <w:pStyle w:val="Instructions"/>
      </w:pPr>
      <w:r>
        <w:rPr/>
        <w:t xml:space="preserve">Refer to the NATSPEC TECHreport TR 01 on specifying ESD.</w:t>
      </w:r>
    </w:p>
    <w:bookmarkEnd w:id="20"/>
    <w:bookmarkEnd w:id="19"/>
    <w:bookmarkStart w:name="f-81963" w:id="21"/>
    <w:bookmarkStart w:name="f-81963-content1" w:id="22"/>
    <w:p>
      <w:pPr>
        <w:pStyle w:val="Heading2"/>
      </w:pPr>
      <w:bookmarkStart w:name="h-81963-content1" w:id="23"/>
      <w:r>
        <w:rPr/>
        <w:t xml:space="preserve">General</w:t>
      </w:r>
      <w:bookmarkEnd w:id="23"/>
    </w:p>
    <w:p>
      <w:pPr>
        <w:pStyle w:val="Instructions"/>
      </w:pPr>
      <w:r>
        <w:rPr/>
        <w:t xml:space="preserve">Australia's original texture brand, with more than 60 years of providing quality texture products, Granosite provides superior performance and protection on all substrates. With a comprehensive range of exterior products for residential and commercial buildings, Granosite offers high build topcoats, giving long-lasting performance, featuring a wide range of texture profiles. Granosite is the preferred choice for commercial and residential new build exterior projects, with texture coatings systems including preps and primers, topcoats and membranes, texture and texture accessories.</w:t>
      </w:r>
    </w:p>
    <w:bookmarkEnd w:id="22"/>
    <w:bookmarkEnd w:id="21"/>
    <w:bookmarkStart w:name="f-92121" w:id="24"/>
    <w:bookmarkStart w:name="f-92121-content" w:id="25"/>
    <w:p>
      <w:pPr>
        <w:pStyle w:val="Heading3"/>
      </w:pPr>
      <w:bookmarkStart w:name="h-92121-content" w:id="26"/>
      <w:r>
        <w:rPr/>
        <w:t xml:space="preserve">Responsibilities</w:t>
      </w:r>
      <w:bookmarkEnd w:id="26"/>
    </w:p>
    <w:bookmarkEnd w:id="25"/>
    <w:bookmarkEnd w:id="24"/>
    <w:bookmarkStart w:name="f-189322" w:id="27"/>
    <w:bookmarkStart w:name="f-189322-content1" w:id="28"/>
    <w:p>
      <w:pPr>
        <w:pStyle w:val="Heading4"/>
      </w:pPr>
      <w:bookmarkStart w:name="h-189322-content1" w:id="29"/>
      <w:r>
        <w:rPr/>
        <w:t xml:space="preserve">General</w:t>
      </w:r>
      <w:bookmarkEnd w:id="29"/>
    </w:p>
    <w:p>
      <w:pPr>
        <w:pStyle w:val="Normal"/>
      </w:pPr>
      <w:r>
        <w:rPr/>
        <w:t xml:space="preserve">Requirement: Provide WATTYL – GRANOSITE coating systems to substrates, as documented.</w:t>
      </w:r>
    </w:p>
    <w:bookmarkEnd w:id="28"/>
    <w:bookmarkStart w:name="f-189322-content2" w:id="30"/>
    <w:bookmarkStart w:name="f-99931" w:id="31"/>
    <w:bookmarkStart w:name="f-99931-2" w:id="32"/>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2"/>
    <w:bookmarkEnd w:id="31"/>
    <w:bookmarkEnd w:id="30"/>
    <w:bookmarkEnd w:id="27"/>
    <w:bookmarkStart w:name="f-74340" w:id="33"/>
    <w:bookmarkStart w:name="f-74340-content1" w:id="34"/>
    <w:p>
      <w:pPr>
        <w:pStyle w:val="Heading4"/>
      </w:pPr>
      <w:bookmarkStart w:name="h-74340-content1" w:id="35"/>
      <w:r>
        <w:rPr/>
        <w:t xml:space="preserve">Performance</w:t>
      </w:r>
      <w:bookmarkEnd w:id="35"/>
    </w:p>
    <w:p>
      <w:pPr>
        <w:pStyle w:val="Normal"/>
      </w:pPr>
      <w:r>
        <w:rPr/>
        <w:t xml:space="preserve">Requirement:</w:t>
      </w:r>
    </w:p>
    <w:p>
      <w:pPr>
        <w:pStyle w:val="NormalIndent"/>
      </w:pPr>
      <w:r>
        <w:rPr/>
        <w:t xml:space="preserve">Consistent in colour, gloss level, texture and dry film thickness.</w:t>
      </w:r>
    </w:p>
    <w:p>
      <w:pPr>
        <w:pStyle w:val="NormalIndent"/>
      </w:pPr>
      <w:r>
        <w:rPr/>
        <w:t xml:space="preserve">Free of runs, sags, blisters, or other discontinuities.</w:t>
      </w:r>
    </w:p>
    <w:p>
      <w:pPr>
        <w:pStyle w:val="NormalIndent"/>
      </w:pPr>
      <w:r>
        <w:rPr/>
        <w:t xml:space="preserve">Fully opaque coating systems.</w:t>
      </w:r>
    </w:p>
    <w:p>
      <w:pPr>
        <w:pStyle w:val="NormalIndent"/>
      </w:pPr>
      <w:r>
        <w:rPr/>
        <w:t xml:space="preserve">Clear finishes at the level of transparency consistent with the product.</w:t>
      </w:r>
    </w:p>
    <w:p>
      <w:pPr>
        <w:pStyle w:val="NormalIndent"/>
      </w:pPr>
      <w:r>
        <w:rPr/>
        <w:t xml:space="preserve">Fully bonded.</w:t>
      </w:r>
    </w:p>
    <w:p>
      <w:pPr>
        <w:pStyle w:val="NormalIndent"/>
      </w:pPr>
      <w:r>
        <w:rPr/>
        <w:t xml:space="preserve">Resistant to environmental degradation within the manufacturer’s stated life span.</w:t>
      </w:r>
    </w:p>
    <w:p>
      <w:pPr>
        <w:pStyle w:val="NormalIndent"/>
      </w:pPr>
      <w:r>
        <w:rPr/>
        <w:t xml:space="preserve">Accommodating movement in the substrate between control joints.</w:t>
      </w:r>
    </w:p>
    <w:p>
      <w:pPr>
        <w:pStyle w:val="Instructions"/>
      </w:pPr>
      <w:r>
        <w:rPr/>
        <w:t xml:space="preserve">When specifying proprietary products check if the product meets the performance required - if so, the performance text may be omitted.</w:t>
      </w:r>
    </w:p>
    <w:bookmarkEnd w:id="34"/>
    <w:bookmarkEnd w:id="33"/>
    <w:bookmarkStart w:name="f-80609-content" w:id="36"/>
    <w:p>
      <w:pPr>
        <w:pStyle w:val="Heading3"/>
      </w:pPr>
      <w:bookmarkStart w:name="h-80609-content" w:id="37"/>
      <w:r>
        <w:rPr/>
        <w:t xml:space="preserve">Company contacts</w:t>
      </w:r>
      <w:bookmarkEnd w:id="37"/>
    </w:p>
    <w:bookmarkEnd w:id="36"/>
    <w:bookmarkStart w:name="f-73103" w:id="38"/>
    <w:bookmarkStart w:name="f-73103-content1" w:id="39"/>
    <w:p>
      <w:pPr>
        <w:pStyle w:val="Heading4"/>
      </w:pPr>
      <w:bookmarkStart w:name="h-73103-content1" w:id="40"/>
      <w:r>
        <w:rPr/>
        <w:t xml:space="preserve">Granosite technical contacts</w:t>
      </w:r>
      <w:bookmarkEnd w:id="40"/>
    </w:p>
    <w:p>
      <w:pPr>
        <w:pStyle w:val="Normal"/>
      </w:pPr>
      <w:r>
        <w:rPr/>
        <w:t xml:space="preserve">Website: </w:t>
      </w:r>
      <w:r>
        <w:fldChar w:fldCharType="begin"/>
      </w:r>
      <w:r>
        <w:instrText xml:space="preserve"> HYPERLINK "http://www.granosite.com.au/contactus" </w:instrText>
      </w:r>
      <w:r>
        <w:fldChar w:fldCharType="separate"/>
      </w:r>
      <w:r>
        <w:rPr>
          <w:rStyle w:val="Hyperlink"/>
        </w:rPr>
        <w:t>www.granosite.com.au/contactus</w:t>
      </w:r>
      <w:r>
        <w:fldChar w:fldCharType="end"/>
      </w:r>
    </w:p>
    <w:p>
      <w:pPr>
        <w:pStyle w:val="Normal"/>
      </w:pPr>
      <w:r>
        <w:rPr/>
        <w:t xml:space="preserve">Coating details: </w:t>
      </w:r>
      <w:r>
        <w:fldChar w:fldCharType="begin"/>
      </w:r>
      <w:r>
        <w:instrText xml:space="preserve"> HYPERLINK "http://www.granosite.com.au/index.php" </w:instrText>
      </w:r>
      <w:r>
        <w:fldChar w:fldCharType="separate"/>
      </w:r>
      <w:r>
        <w:rPr>
          <w:rStyle w:val="Hyperlink"/>
        </w:rPr>
        <w:t>www.granosite.com.au/index</w:t>
      </w:r>
      <w:r>
        <w:fldChar w:fldCharType="end"/>
      </w:r>
    </w:p>
    <w:bookmarkEnd w:id="39"/>
    <w:bookmarkEnd w:id="38"/>
    <w:bookmarkStart w:name="f-67550" w:id="41"/>
    <w:bookmarkStart w:name="f-67550-content" w:id="42"/>
    <w:p>
      <w:pPr>
        <w:pStyle w:val="Heading3"/>
      </w:pPr>
      <w:bookmarkStart w:name="h-67550-content" w:id="43"/>
      <w:r>
        <w:rPr/>
        <w:t xml:space="preserve">Cross references</w:t>
      </w:r>
      <w:bookmarkEnd w:id="43"/>
    </w:p>
    <w:bookmarkEnd w:id="42"/>
    <w:bookmarkEnd w:id="41"/>
    <w:bookmarkStart w:name="f-99933" w:id="44"/>
    <w:bookmarkStart w:name="f-99933-4" w:id="45"/>
    <w:p>
      <w:pPr>
        <w:pStyle w:val="Heading4"/>
      </w:pPr>
      <w:bookmarkStart w:name="h-99933-4" w:id="46"/>
      <w:r>
        <w:rPr/>
        <w:t xml:space="preserve">General</w:t>
      </w:r>
      <w:bookmarkEnd w:id="46"/>
    </w:p>
    <w:p>
      <w:pPr>
        <w:pStyle w:val="Normal"/>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45"/>
    <w:bookmarkEnd w:id="44"/>
    <w:bookmarkStart w:name="f-84563" w:id="47"/>
    <w:bookmarkStart w:name="f-84563-content1" w:id="48"/>
    <w:p>
      <w:pPr>
        <w:pStyle w:val="Heading3"/>
      </w:pPr>
      <w:bookmarkStart w:name="h-84563-content1" w:id="49"/>
      <w:r>
        <w:rPr/>
        <w:t xml:space="preserve">Standards</w:t>
      </w:r>
      <w:bookmarkEnd w:id="49"/>
    </w:p>
    <w:bookmarkEnd w:id="48"/>
    <w:bookmarkEnd w:id="47"/>
    <w:bookmarkStart w:name="f-97786" w:id="50"/>
    <w:bookmarkStart w:name="f-97786-content1" w:id="51"/>
    <w:p>
      <w:pPr>
        <w:pStyle w:val="Heading4"/>
      </w:pPr>
      <w:bookmarkStart w:name="h-97786-content1" w:id="52"/>
      <w:r>
        <w:rPr/>
        <w:t xml:space="preserve">Textured and membrane coatings</w:t>
      </w:r>
      <w:bookmarkEnd w:id="52"/>
    </w:p>
    <w:p>
      <w:pPr>
        <w:pStyle w:val="Normal"/>
      </w:pPr>
      <w:r>
        <w:rPr/>
        <w:t xml:space="preserve">General: Comply with the recommendations of those parts of AS/NZS 2311 which are referenced in this worksection.</w:t>
      </w:r>
    </w:p>
    <w:bookmarkEnd w:id="51"/>
    <w:bookmarkEnd w:id="50"/>
    <w:bookmarkStart w:name="f-97151-content" w:id="53"/>
    <w:p>
      <w:pPr>
        <w:pStyle w:val="Heading3"/>
      </w:pPr>
      <w:bookmarkStart w:name="h-97151-content" w:id="54"/>
      <w:r>
        <w:rPr/>
        <w:t xml:space="preserve">Manufacturer's documents</w:t>
      </w:r>
      <w:bookmarkEnd w:id="54"/>
    </w:p>
    <w:bookmarkEnd w:id="53"/>
    <w:bookmarkStart w:name="f-182613" w:id="55"/>
    <w:bookmarkStart w:name="f-182613-content1" w:id="56"/>
    <w:p>
      <w:pPr>
        <w:pStyle w:val="Heading4"/>
      </w:pPr>
      <w:bookmarkStart w:name="h-182613-content1" w:id="57"/>
      <w:r>
        <w:rPr/>
        <w:t xml:space="preserve">Technical manuals</w:t>
      </w:r>
      <w:bookmarkEnd w:id="57"/>
    </w:p>
    <w:p>
      <w:pPr>
        <w:pStyle w:val="Normal"/>
      </w:pPr>
      <w:r>
        <w:rPr/>
        <w:t xml:space="preserve">Technical and safety Data Sheets: </w:t>
      </w:r>
      <w:r>
        <w:fldChar w:fldCharType="begin"/>
      </w:r>
      <w:r>
        <w:instrText xml:space="preserve"> HYPERLINK "http://www.valsparprofessional.com/products/" </w:instrText>
      </w:r>
      <w:r>
        <w:fldChar w:fldCharType="separate"/>
      </w:r>
      <w:r>
        <w:rPr>
          <w:rStyle w:val="Hyperlink"/>
        </w:rPr>
        <w:t>www.valsparprofessional.com.au/products/</w:t>
      </w:r>
      <w:r>
        <w:fldChar w:fldCharType="end"/>
      </w:r>
    </w:p>
    <w:p>
      <w:pPr>
        <w:pStyle w:val="Normal"/>
      </w:pPr>
      <w:r>
        <w:rPr/>
        <w:t xml:space="preserve">System specification sheets: </w:t>
      </w:r>
      <w:r>
        <w:fldChar w:fldCharType="begin"/>
      </w:r>
      <w:r>
        <w:instrText xml:space="preserve"> HYPERLINK "http://www.valsparprofessional.com.au/specifications/" </w:instrText>
      </w:r>
      <w:r>
        <w:fldChar w:fldCharType="separate"/>
      </w:r>
      <w:r>
        <w:rPr>
          <w:rStyle w:val="Hyperlink"/>
        </w:rPr>
        <w:t>www.valsparprofessional.com.au/specifications/</w:t>
      </w:r>
      <w:r>
        <w:fldChar w:fldCharType="end"/>
      </w:r>
    </w:p>
    <w:bookmarkEnd w:id="56"/>
    <w:bookmarkEnd w:id="55"/>
    <w:bookmarkStart w:name="f-88684" w:id="58"/>
    <w:bookmarkStart w:name="f-88684-content" w:id="59"/>
    <w:p>
      <w:pPr>
        <w:pStyle w:val="Heading3"/>
      </w:pPr>
      <w:bookmarkStart w:name="h-88684-content" w:id="60"/>
      <w:r>
        <w:rPr/>
        <w:t xml:space="preserve">Interpretation</w:t>
      </w:r>
      <w:bookmarkEnd w:id="60"/>
    </w:p>
    <w:bookmarkEnd w:id="59"/>
    <w:bookmarkEnd w:id="58"/>
    <w:bookmarkStart w:name="f-130269" w:id="61"/>
    <w:bookmarkStart w:name="f-130269-1" w:id="62"/>
    <w:p>
      <w:pPr>
        <w:pStyle w:val="Heading4"/>
      </w:pPr>
      <w:bookmarkStart w:name="h-130269-1" w:id="63"/>
      <w:r>
        <w:rPr/>
        <w:t xml:space="preserve">Definitions</w:t>
      </w:r>
      <w:bookmarkEnd w:id="63"/>
    </w:p>
    <w:p>
      <w:pPr>
        <w:pStyle w:val="Normal"/>
      </w:pPr>
      <w:r>
        <w:rPr/>
        <w:t xml:space="preserve">General: For the purposes of this worksection the following definitions apply:</w:t>
      </w:r>
    </w:p>
    <w:p>
      <w:pPr>
        <w:pStyle w:val="Instructions"/>
      </w:pPr>
      <w:r>
        <w:rPr/>
        <w:t xml:space="preserve">Additional definitions are provided in AS/NZS 2310.</w:t>
      </w:r>
    </w:p>
    <w:bookmarkStart w:name="f-130373" w:id="64"/>
    <w:bookmarkStart w:name="f-130373-term" w:id="65"/>
    <w:p>
      <w:pPr>
        <w:pStyle w:val="NormalIndent"/>
      </w:pPr>
      <w:r>
        <w:rPr/>
        <w:t xml:space="preserve">Adhesion (paint): Adhesion (paint): The sum total of forces of attachment between a dry film and its substrate.</w:t>
      </w:r>
    </w:p>
    <w:bookmarkEnd w:id="65"/>
    <w:bookmarkStart w:name="f-130373-definition" w:id="66"/>
    <w:bookmarkEnd w:id="66"/>
    <w:bookmarkEnd w:id="64"/>
    <w:bookmarkStart w:name="f-100125" w:id="67"/>
    <w:bookmarkStart w:name="f-100125-term" w:id="68"/>
    <w:p>
      <w:pPr>
        <w:pStyle w:val="NormalIndent"/>
      </w:pPr>
      <w:r>
        <w:rPr/>
        <w:t xml:space="preserve">Aggregate filled textured latex coating: An aggregate filled medium to high profile textured coating selected for aesthetic purposes to provide maximum relief from underlying surface irregularities according to the application technique used.</w:t>
      </w:r>
    </w:p>
    <w:bookmarkEnd w:id="68"/>
    <w:bookmarkStart w:name="f-100125-definition" w:id="69"/>
    <w:bookmarkEnd w:id="69"/>
    <w:bookmarkEnd w:id="67"/>
    <w:bookmarkStart w:name="f-100144" w:id="70"/>
    <w:bookmarkStart w:name="f-100144-term" w:id="71"/>
    <w:p>
      <w:pPr>
        <w:pStyle w:val="NormalIndent"/>
      </w:pPr>
      <w:r>
        <w:rPr/>
        <w:t xml:space="preserve">Gloss: The optical property of a surface, characterised by its ability to reflect light specularly.</w:t>
      </w:r>
    </w:p>
    <w:bookmarkEnd w:id="71"/>
    <w:bookmarkStart w:name="f-100144-definition" w:id="72"/>
    <w:bookmarkEnd w:id="72"/>
    <w:bookmarkEnd w:id="70"/>
    <w:bookmarkStart w:name="f-99942" w:id="73"/>
    <w:bookmarkStart w:name="f-99942-term" w:id="74"/>
    <w:p>
      <w:pPr>
        <w:pStyle w:val="NormalIndent"/>
      </w:pPr>
      <w:r>
        <w:rPr/>
        <w:t xml:space="preserve">Gloss unit: Numerical value for the amount of specular reflection relative to that of a standard surface under the same geometric conditions.</w:t>
      </w:r>
    </w:p>
    <w:bookmarkEnd w:id="74"/>
    <w:bookmarkStart w:name="f-99942-definition" w:id="75"/>
    <w:bookmarkEnd w:id="75"/>
    <w:bookmarkEnd w:id="73"/>
    <w:p>
      <w:pPr>
        <w:pStyle w:val="Instructions"/>
      </w:pPr>
      <w:r>
        <w:rPr/>
        <w:t xml:space="preserve">Gloss levels can be measured on site in gloss units with a digital gloss meter.</w:t>
      </w:r>
    </w:p>
    <w:bookmarkStart w:name="f-100067" w:id="76"/>
    <w:bookmarkStart w:name="f-100067-term" w:id="77"/>
    <w:p>
      <w:pPr>
        <w:pStyle w:val="NormalIndent"/>
      </w:pPr>
      <w:r>
        <w:rPr/>
        <w:t xml:space="preserve">High-build low profile latex coating: A water based coating designed to be used over textured coatings to increase the exposure performance of the system.</w:t>
      </w:r>
    </w:p>
    <w:bookmarkEnd w:id="77"/>
    <w:bookmarkStart w:name="f-100067-definition" w:id="78"/>
    <w:bookmarkEnd w:id="78"/>
    <w:bookmarkEnd w:id="76"/>
    <w:bookmarkStart w:name="f-100117" w:id="79"/>
    <w:bookmarkStart w:name="f-100117-term" w:id="80"/>
    <w:p>
      <w:pPr>
        <w:pStyle w:val="NormalIndent"/>
      </w:pPr>
      <w:r>
        <w:rPr/>
        <w:t xml:space="preserve">Latex extensible wall coating (or membrane coating): A non-aggregate flexible watertight finish.</w:t>
      </w:r>
    </w:p>
    <w:bookmarkEnd w:id="80"/>
    <w:bookmarkStart w:name="f-100117-definition" w:id="81"/>
    <w:bookmarkEnd w:id="81"/>
    <w:bookmarkEnd w:id="79"/>
    <w:bookmarkStart w:name="f-100220" w:id="82"/>
    <w:bookmarkStart w:name="f-100220-term" w:id="83"/>
    <w:p>
      <w:pPr>
        <w:pStyle w:val="NormalIndent"/>
      </w:pPr>
      <w:r>
        <w:rPr/>
        <w:t xml:space="preserve">Levels of gloss finish: When the specular direction is 60 degrees, surfaces with the following specular gloss reading is defined as follows:</w:t>
      </w:r>
    </w:p>
    <w:bookmarkEnd w:id="83"/>
    <w:bookmarkStart w:name="f-100220-definition" w:id="84"/>
    <w:p>
      <w:pPr>
        <w:pStyle w:val="NormalIndent2"/>
      </w:pPr>
      <w:r>
        <w:rPr/>
        <w:t xml:space="preserve">Full gloss: Over 85 gloss units.</w:t>
      </w:r>
    </w:p>
    <w:p>
      <w:pPr>
        <w:pStyle w:val="NormalIndent2"/>
      </w:pPr>
      <w:r>
        <w:rPr/>
        <w:t xml:space="preserve">Gloss: Over 50 and up to 85 gloss units.</w:t>
      </w:r>
    </w:p>
    <w:p>
      <w:pPr>
        <w:pStyle w:val="NormalIndent2"/>
      </w:pPr>
      <w:r>
        <w:rPr/>
        <w:t xml:space="preserve">Semi-gloss (satin): Over 20 and up to 50 gloss units.</w:t>
      </w:r>
    </w:p>
    <w:p>
      <w:pPr>
        <w:pStyle w:val="NormalIndent2"/>
      </w:pPr>
      <w:r>
        <w:rPr/>
        <w:t xml:space="preserve">Low gloss (low sheen): Over 5 and up to 20 gloss units.</w:t>
      </w:r>
    </w:p>
    <w:p>
      <w:pPr>
        <w:pStyle w:val="NormalIndent2"/>
      </w:pPr>
      <w:r>
        <w:rPr/>
        <w:t xml:space="preserve">Flat finish (matt): Up to 5 gloss units.</w:t>
      </w:r>
    </w:p>
    <w:bookmarkEnd w:id="84"/>
    <w:bookmarkEnd w:id="82"/>
    <w:p>
      <w:pPr>
        <w:pStyle w:val="Instructions"/>
      </w:pPr>
      <w:r>
        <w:rPr/>
        <w:t xml:space="preserve">From AS/NZS 2311 clause 4.1. Gloss units are measured to AS/NZS 1580.602.2.</w:t>
      </w:r>
    </w:p>
    <w:bookmarkStart w:name="f-100198" w:id="85"/>
    <w:bookmarkStart w:name="f-100198-term" w:id="86"/>
    <w:p>
      <w:pPr>
        <w:pStyle w:val="NormalIndent"/>
      </w:pPr>
      <w:r>
        <w:rPr/>
        <w:t xml:space="preserve">Non-aggregate textured latex coating: A latex coating selected for aesthetic purposes to provide decorative profiles according to the application technique used.</w:t>
      </w:r>
    </w:p>
    <w:bookmarkEnd w:id="86"/>
    <w:bookmarkStart w:name="f-100198-definition" w:id="87"/>
    <w:bookmarkEnd w:id="87"/>
    <w:bookmarkEnd w:id="85"/>
    <w:bookmarkStart w:name="f-100222" w:id="88"/>
    <w:bookmarkStart w:name="f-100222-term" w:id="89"/>
    <w:p>
      <w:pPr>
        <w:pStyle w:val="NormalIndent"/>
      </w:pPr>
      <w:r>
        <w:rPr/>
        <w:t xml:space="preserve">Opacity: The ability of a paint or textured and membrane coating to obliterate the colour difference of a substrate.</w:t>
      </w:r>
    </w:p>
    <w:bookmarkEnd w:id="89"/>
    <w:bookmarkStart w:name="f-100222-definition" w:id="90"/>
    <w:bookmarkEnd w:id="90"/>
    <w:bookmarkEnd w:id="88"/>
    <w:bookmarkStart w:name="f-100166" w:id="91"/>
    <w:bookmarkStart w:name="f-100166-term" w:id="92"/>
    <w:p>
      <w:pPr>
        <w:pStyle w:val="NormalIndent"/>
      </w:pPr>
      <w:r>
        <w:rPr/>
        <w:t xml:space="preserve">Paint or coating system: A product in liquid form, which when applied to a surface, forms a dry film having protective, decorative or other specific technical properties.</w:t>
      </w:r>
    </w:p>
    <w:bookmarkEnd w:id="92"/>
    <w:bookmarkStart w:name="f-100166-definition" w:id="93"/>
    <w:bookmarkEnd w:id="93"/>
    <w:bookmarkEnd w:id="91"/>
    <w:bookmarkStart w:name="f-100099" w:id="94"/>
    <w:bookmarkStart w:name="f-100099-term" w:id="95"/>
    <w:p>
      <w:pPr>
        <w:pStyle w:val="NormalIndent"/>
      </w:pPr>
      <w:r>
        <w:rPr/>
        <w:t xml:space="preserve">Primer, prime coat: The first coat of a painting system that helps bind subsequent coats to the substrate and which may inhibit its deterioration.</w:t>
      </w:r>
    </w:p>
    <w:bookmarkEnd w:id="95"/>
    <w:bookmarkStart w:name="f-100099-definition" w:id="96"/>
    <w:bookmarkEnd w:id="96"/>
    <w:bookmarkEnd w:id="94"/>
    <w:bookmarkStart w:name="f-100197" w:id="97"/>
    <w:bookmarkStart w:name="f-100197-term" w:id="98"/>
    <w:p>
      <w:pPr>
        <w:pStyle w:val="NormalIndent"/>
      </w:pPr>
      <w:r>
        <w:rPr/>
        <w:t xml:space="preserve">Substrate: The surface to which a material or product is applied.</w:t>
      </w:r>
    </w:p>
    <w:bookmarkEnd w:id="98"/>
    <w:bookmarkStart w:name="f-100197-definition" w:id="99"/>
    <w:bookmarkEnd w:id="99"/>
    <w:bookmarkEnd w:id="97"/>
    <w:bookmarkStart w:name="f-100014" w:id="100"/>
    <w:bookmarkStart w:name="f-100014-term" w:id="101"/>
    <w:p>
      <w:pPr>
        <w:pStyle w:val="NormalIndent"/>
      </w:pPr>
      <w:r>
        <w:rPr/>
        <w:t xml:space="preserve">Undercoat: An intermediate coat formulated to prepare a primed surface or other prepared surface for the finishing coat.</w:t>
      </w:r>
    </w:p>
    <w:bookmarkEnd w:id="101"/>
    <w:bookmarkStart w:name="f-100014-definition" w:id="102"/>
    <w:bookmarkEnd w:id="102"/>
    <w:bookmarkEnd w:id="100"/>
    <w:p>
      <w:pPr>
        <w:pStyle w:val="Instructions"/>
      </w:pPr>
      <w:r>
        <w:rPr/>
        <w:t xml:space="preserve">Edit the </w:t>
      </w:r>
      <w:r>
        <w:rPr>
          <w:b/>
        </w:rPr>
        <w:t xml:space="preserve">Definitions</w:t>
      </w:r>
      <w:r>
        <w:rPr/>
        <w:t xml:space="preserve"> subclause to suit the project or delete if not required. List alphabetically.</w:t>
      </w:r>
    </w:p>
    <w:bookmarkEnd w:id="62"/>
    <w:bookmarkEnd w:id="61"/>
    <w:bookmarkStart w:name="f-93472-content" w:id="103"/>
    <w:p>
      <w:pPr>
        <w:pStyle w:val="Heading3"/>
      </w:pPr>
      <w:bookmarkStart w:name="h-93472-content" w:id="104"/>
      <w:r>
        <w:rPr/>
        <w:t xml:space="preserve">Submissions</w:t>
      </w:r>
      <w:bookmarkEnd w:id="104"/>
    </w:p>
    <w:bookmarkEnd w:id="103"/>
    <w:bookmarkStart w:name="f-182600" w:id="105"/>
    <w:bookmarkStart w:name="f-182600-1" w:id="106"/>
    <w:p>
      <w:pPr>
        <w:pStyle w:val="Heading4"/>
      </w:pPr>
      <w:bookmarkStart w:name="h-182600-1" w:id="107"/>
      <w:r>
        <w:rPr/>
        <w:t xml:space="preserve">Operations and maintenance manuals</w:t>
      </w:r>
      <w:bookmarkEnd w:id="107"/>
    </w:p>
    <w:p>
      <w:pPr>
        <w:pStyle w:val="Normal"/>
      </w:pPr>
      <w:r>
        <w:rPr/>
        <w:t xml:space="preserve">Requirement: At completion, submit the manufacturer’s published use, care and maintenance instructions.</w:t>
      </w:r>
    </w:p>
    <w:bookmarkEnd w:id="106"/>
    <w:bookmarkEnd w:id="105"/>
    <w:bookmarkStart w:name="f-94293" w:id="108"/>
    <w:bookmarkStart w:name="f-94293-content1" w:id="109"/>
    <w:p>
      <w:pPr>
        <w:pStyle w:val="Heading4"/>
      </w:pPr>
      <w:bookmarkStart w:name="h-94293-content1" w:id="110"/>
      <w:r>
        <w:rPr/>
        <w:t xml:space="preserve">Products and materials</w:t>
      </w:r>
      <w:bookmarkEnd w:id="110"/>
    </w:p>
    <w:p>
      <w:pPr>
        <w:pStyle w:val="Normal"/>
      </w:pPr>
      <w:r>
        <w:rPr/>
        <w:t xml:space="preserve">General: Granosite coating systems have been selected for this project. Submit the selected manufacturer’s details at least 3 weeks before the coating is required, as follows:</w:t>
      </w:r>
    </w:p>
    <w:p>
      <w:pPr>
        <w:pStyle w:val="NormalIndent"/>
      </w:pPr>
      <w:r>
        <w:rPr/>
        <w:t xml:space="preserve">Granosite product name and designation.</w:t>
      </w:r>
    </w:p>
    <w:p>
      <w:pPr>
        <w:pStyle w:val="NormalIndent"/>
      </w:pPr>
      <w:r>
        <w:rPr/>
        <w:t xml:space="preserve">Product data sheets.</w:t>
      </w:r>
    </w:p>
    <w:p>
      <w:pPr>
        <w:pStyle w:val="NormalIndent"/>
      </w:pPr>
      <w:r>
        <w:rPr/>
        <w:t xml:space="preserve">Safety data sheets (SDS) showing the health and safety precautions to be taken during application.</w:t>
      </w:r>
    </w:p>
    <w:p>
      <w:pPr>
        <w:pStyle w:val="OptionalNormal"/>
      </w:pPr>
      <w:r>
        <w:rPr/>
        <w:t xml:space="preserve">Evidence of delivery: Submit delivery docket as evidence of delivery of </w:t>
      </w:r>
      <w:r>
        <w:fldChar w:fldCharType="begin"/>
        <w:instrText xml:space="preserve"> MACROBUTTON  ac_OnHelp [complete/delete]</w:instrText>
        <w:fldChar w:fldCharType="separate"/>
        <w:t xml:space="preserve"> </w:t>
        <w:fldChar w:fldCharType="end"/>
      </w:r>
    </w:p>
    <w:p>
      <w:pPr>
        <w:pStyle w:val="Instructions"/>
      </w:pPr>
      <w:r>
        <w:rPr/>
        <w:t xml:space="preserve">If evidence of delivery to site is required, consider including this </w:t>
      </w:r>
      <w:r>
        <w:rPr>
          <w:i/>
        </w:rPr>
        <w:t xml:space="preserve">Optional</w:t>
      </w:r>
      <w:r>
        <w:rPr/>
        <w:t xml:space="preserve"> style text by changing to </w:t>
      </w:r>
      <w:r>
        <w:rPr>
          <w:i/>
        </w:rPr>
        <w:t xml:space="preserve">Normal</w:t>
      </w:r>
      <w:r>
        <w:rPr/>
        <w:t xml:space="preserve"> style text.</w:t>
      </w:r>
    </w:p>
    <w:bookmarkEnd w:id="109"/>
    <w:bookmarkEnd w:id="108"/>
    <w:bookmarkStart w:name="f-67888" w:id="111"/>
    <w:bookmarkStart w:name="f-67888-content1" w:id="112"/>
    <w:p>
      <w:pPr>
        <w:pStyle w:val="Heading4"/>
      </w:pPr>
      <w:bookmarkStart w:name="h-67888-content1" w:id="113"/>
      <w:r>
        <w:rPr/>
        <w:t xml:space="preserve">Samples</w:t>
      </w:r>
      <w:bookmarkEnd w:id="113"/>
    </w:p>
    <w:p>
      <w:pPr>
        <w:pStyle w:val="Instructions"/>
      </w:pPr>
      <w:r>
        <w:rPr/>
        <w:t xml:space="preserve">Granosite texture samples can be ordered from Professional Services. See contact details at </w:t>
      </w:r>
      <w:r>
        <w:rPr>
          <w:b/>
        </w:rPr>
        <w:t xml:space="preserve">COMPANY CONTACTS</w:t>
      </w:r>
      <w:r>
        <w:rPr/>
        <w:t xml:space="preserve">.</w:t>
      </w:r>
    </w:p>
    <w:p>
      <w:pPr>
        <w:pStyle w:val="Normal"/>
      </w:pPr>
      <w:r>
        <w:rPr/>
        <w:t xml:space="preserve">General: Submit labelled samples of each coating system, on representative substrates, showing surface preparation, colour, gloss level, texture, and physical properties.</w:t>
      </w:r>
    </w:p>
    <w:bookmarkEnd w:id="112"/>
    <w:bookmarkEnd w:id="111"/>
    <w:bookmarkStart w:name="f-92224" w:id="114"/>
    <w:bookmarkStart w:name="f-92224-content1" w:id="115"/>
    <w:p>
      <w:pPr>
        <w:pStyle w:val="Heading4"/>
      </w:pPr>
      <w:bookmarkStart w:name="h-92224-content1" w:id="116"/>
      <w:r>
        <w:rPr/>
        <w:t xml:space="preserve">Coated samples schedule</w:t>
      </w:r>
      <w:bookmarkEnd w:id="116"/>
    </w:p>
    <w:tbl>
      <w:tblGrid>
        <w:gridCol w:w="2000"/>
        <w:gridCol w:w="2000"/>
        <w:gridCol w:w="2000"/>
        <w:gridCol w:w="2000"/>
        <w:gridCol w:w="2000"/>
      </w:tblGrid>
      <w:tblPr>
        <w:tblStyle w:val="NATSPECTable"/>
        <w:tblW w:w="5000" w:type="pct"/>
        <w:tblLook w:val="05E0" w:firstRow="0" w:lastRow="0" w:firstColumn="0" w:lastColumn="0"/>
      </w:tblPr>
      <w:tr>
        <w:trPr>
          <w:tblHeader/>
        </w:trPr>
        <w:tc>
          <w:tcPr>
            <w:tcW w:w="2000" w:type="dxa"/>
          </w:tcPr>
          <w:p>
            <w:pPr>
              <w:pStyle w:val="Tabletitle"/>
            </w:pPr>
            <w:r>
              <w:rPr/>
              <w:t xml:space="preserve">Substrate</w:t>
            </w:r>
          </w:p>
        </w:tc>
        <w:tc>
          <w:tcPr>
            <w:tcW w:w="2000" w:type="dxa"/>
          </w:tcPr>
          <w:p>
            <w:pPr>
              <w:pStyle w:val="Tabletitle"/>
            </w:pPr>
            <w:r>
              <w:rPr/>
              <w:t xml:space="preserve">Coating system</w:t>
            </w:r>
          </w:p>
        </w:tc>
        <w:tc>
          <w:tcPr>
            <w:tcW w:w="2000" w:type="dxa"/>
          </w:tcPr>
          <w:p>
            <w:pPr>
              <w:pStyle w:val="Tabletitle"/>
            </w:pPr>
            <w:r>
              <w:rPr/>
              <w:t xml:space="preserve">Colour/texture</w:t>
            </w:r>
          </w:p>
        </w:tc>
        <w:tc>
          <w:tcPr>
            <w:tcW w:w="2000" w:type="dxa"/>
          </w:tcPr>
          <w:p>
            <w:pPr>
              <w:pStyle w:val="Tabletitle"/>
            </w:pPr>
            <w:r>
              <w:rPr/>
              <w:t xml:space="preserve">Texture application</w:t>
            </w:r>
          </w:p>
        </w:tc>
        <w:tc>
          <w:tcPr>
            <w:tcW w:w="2000" w:type="dxa"/>
          </w:tcPr>
          <w:p>
            <w:pPr>
              <w:pStyle w:val="Tabletitle"/>
            </w:pPr>
            <w:r>
              <w:rPr/>
              <w:t xml:space="preserve">Sample size</w:t>
            </w:r>
          </w:p>
        </w:tc>
      </w:tr>
      <w:tr>
        <w:tc>
          <w:tcPr>
            <w:tcW w:w="2000" w:type="dxa"/>
          </w:tcPr>
          <w:p/>
        </w:tc>
        <w:tc>
          <w:tcPr>
            <w:tcW w:w="2000" w:type="dxa"/>
          </w:tcPr>
          <w:p/>
        </w:tc>
        <w:tc>
          <w:tcPr>
            <w:tcW w:w="2000" w:type="dxa"/>
          </w:tcPr>
          <w:p/>
        </w:tc>
        <w:tc>
          <w:tcPr>
            <w:tcW w:w="2000" w:type="dxa"/>
          </w:tcPr>
          <w:p/>
        </w:tc>
        <w:tc>
          <w:tcPr>
            <w:tcW w:w="2000" w:type="dxa"/>
          </w:tcPr>
          <w:p/>
        </w:tc>
      </w:tr>
      <w:tr>
        <w:tc>
          <w:tcPr>
            <w:tcW w:w="2000" w:type="dxa"/>
          </w:tcPr>
          <w:p/>
        </w:tc>
        <w:tc>
          <w:tcPr>
            <w:tcW w:w="2000" w:type="dxa"/>
          </w:tcPr>
          <w:p/>
        </w:tc>
        <w:tc>
          <w:tcPr>
            <w:tcW w:w="2000" w:type="dxa"/>
          </w:tcPr>
          <w:p/>
        </w:tc>
        <w:tc>
          <w:tcPr>
            <w:tcW w:w="2000" w:type="dxa"/>
          </w:tcPr>
          <w:p/>
        </w:tc>
        <w:tc>
          <w:tcPr>
            <w:tcW w:w="2000" w:type="dxa"/>
          </w:tcPr>
          <w:p/>
        </w:tc>
      </w:tr>
      <w:tr>
        <w:tc>
          <w:tcPr>
            <w:tcW w:w="2000" w:type="dxa"/>
          </w:tcPr>
          <w:p/>
        </w:tc>
        <w:tc>
          <w:tcPr>
            <w:tcW w:w="2000" w:type="dxa"/>
          </w:tcPr>
          <w:p/>
        </w:tc>
        <w:tc>
          <w:tcPr>
            <w:tcW w:w="2000" w:type="dxa"/>
          </w:tcPr>
          <w:p/>
        </w:tc>
        <w:tc>
          <w:tcPr>
            <w:tcW w:w="2000" w:type="dxa"/>
          </w:tcPr>
          <w:p/>
        </w:tc>
        <w:tc>
          <w:tcPr>
            <w:tcW w:w="2000" w:type="dxa"/>
          </w:tcPr>
          <w:p/>
        </w:tc>
      </w:tr>
    </w:tbl>
    <w:p>
      <w:pPr>
        <w:pStyle w:val="Normal"/>
      </w:pPr>
      <w:r>
        <w:rPr/>
        <w:t xml:space="preserve"> </w:t>
      </w:r>
    </w:p>
    <w:p>
      <w:pPr>
        <w:pStyle w:val="Instructions"/>
      </w:pPr>
      <w:r>
        <w:rPr/>
        <w:t xml:space="preserve">Colour/texture: If coating is required to be mixed or tinted to match samples provided, consult the manufacturer to make sure that the colours selected satisfy the required durability and opacity, and will conform to requirements in the documented number of coats.</w:t>
      </w:r>
    </w:p>
    <w:p>
      <w:pPr>
        <w:pStyle w:val="Instructions"/>
      </w:pPr>
      <w:r>
        <w:rPr/>
        <w:t xml:space="preserve">Texture application: Nominate nap length of the roller.</w:t>
      </w:r>
    </w:p>
    <w:bookmarkEnd w:id="115"/>
    <w:bookmarkEnd w:id="114"/>
    <w:bookmarkStart w:name="f-86072" w:id="117"/>
    <w:bookmarkStart w:name="f-86072-content1" w:id="118"/>
    <w:p>
      <w:pPr>
        <w:pStyle w:val="Heading4"/>
      </w:pPr>
      <w:bookmarkStart w:name="h-86072-content1" w:id="119"/>
      <w:r>
        <w:rPr/>
        <w:t xml:space="preserve">Subcontractors</w:t>
      </w:r>
      <w:bookmarkEnd w:id="119"/>
    </w:p>
    <w:p>
      <w:pPr>
        <w:pStyle w:val="Normal"/>
      </w:pPr>
      <w:r>
        <w:rPr/>
        <w:t xml:space="preserve">General: Submit name and contact details of proposed specialist applicators.</w:t>
      </w:r>
    </w:p>
    <w:p>
      <w:pPr>
        <w:pStyle w:val="Prompt"/>
      </w:pPr>
      <w:r>
        <w:rPr/>
        <w:t xml:space="preserve">Evidence of experience: </w:t>
      </w:r>
      <w:r>
        <w:fldChar w:fldCharType="begin"/>
        <w:instrText xml:space="preserve"> MACROBUTTON  ac_OnHelp [complete/delete]</w:instrText>
        <w:fldChar w:fldCharType="separate"/>
        <w:t xml:space="preserve"> </w:t>
        <w:fldChar w:fldCharType="end"/>
      </w:r>
    </w:p>
    <w:p>
      <w:pPr>
        <w:pStyle w:val="Instructions"/>
      </w:pPr>
      <w:r>
        <w:rPr/>
        <w:t xml:space="preserve">Delete if supplier/installer details are not required.</w:t>
      </w:r>
    </w:p>
    <w:p>
      <w:pPr>
        <w:pStyle w:val="Normal"/>
      </w:pPr>
      <w:r>
        <w:rPr/>
        <w:t xml:space="preserve">Substrate acceptance: Submit the applicator’s certification of the acceptability of the coating substrate before commencing installation.</w:t>
      </w:r>
    </w:p>
    <w:bookmarkEnd w:id="118"/>
    <w:bookmarkEnd w:id="117"/>
    <w:bookmarkStart w:name="f-182607" w:id="120"/>
    <w:bookmarkStart w:name="f-182607-1" w:id="121"/>
    <w:p>
      <w:pPr>
        <w:pStyle w:val="Heading4"/>
      </w:pPr>
      <w:bookmarkStart w:name="h-182607-1" w:id="122"/>
      <w:r>
        <w:rPr/>
        <w:t xml:space="preserve">Warranties </w:t>
      </w:r>
      <w:bookmarkEnd w:id="122"/>
    </w:p>
    <w:p>
      <w:pPr>
        <w:pStyle w:val="Normal"/>
      </w:pPr>
      <w:r>
        <w:rPr/>
        <w:t xml:space="preserve">Requirement: Submit warranties to </w:t>
      </w:r>
      <w:r>
        <w:rPr>
          <w:b/>
        </w:rPr>
        <w:t xml:space="preserve">COMPLETION, WARRANTIES.</w:t>
      </w:r>
    </w:p>
    <w:bookmarkEnd w:id="121"/>
    <w:bookmarkEnd w:id="120"/>
    <w:bookmarkStart w:name="f-94158" w:id="123"/>
    <w:bookmarkStart w:name="f-94158-content" w:id="124"/>
    <w:p>
      <w:pPr>
        <w:pStyle w:val="Heading3"/>
      </w:pPr>
      <w:bookmarkStart w:name="h-94158-content" w:id="125"/>
      <w:r>
        <w:rPr/>
        <w:t xml:space="preserve">Inspection</w:t>
      </w:r>
      <w:bookmarkEnd w:id="125"/>
    </w:p>
    <w:bookmarkEnd w:id="124"/>
    <w:bookmarkEnd w:id="123"/>
    <w:bookmarkStart w:name="f-85198" w:id="126"/>
    <w:bookmarkStart w:name="f-85198-content1" w:id="127"/>
    <w:p>
      <w:pPr>
        <w:pStyle w:val="Heading4"/>
      </w:pPr>
      <w:bookmarkStart w:name="h-85198-content1" w:id="128"/>
      <w:r>
        <w:rPr/>
        <w:t xml:space="preserve">Notice</w:t>
      </w:r>
      <w:bookmarkEnd w:id="128"/>
    </w:p>
    <w:p>
      <w:pPr>
        <w:pStyle w:val="Normal"/>
      </w:pPr>
      <w:r>
        <w:rPr/>
        <w:t xml:space="preserve">Inspection: Give notice so that inspection may be made of the following:</w:t>
      </w:r>
    </w:p>
    <w:p>
      <w:pPr>
        <w:pStyle w:val="NormalIndent"/>
      </w:pPr>
      <w:r>
        <w:rPr/>
        <w:t xml:space="preserve">Completion of substrate preparation.</w:t>
      </w:r>
    </w:p>
    <w:p>
      <w:pPr>
        <w:pStyle w:val="NormalIndent"/>
      </w:pPr>
      <w:r>
        <w:rPr/>
        <w:t xml:space="preserve">After application of prime or seal coats.</w:t>
      </w:r>
    </w:p>
    <w:p>
      <w:pPr>
        <w:pStyle w:val="NormalIndent"/>
      </w:pPr>
      <w:r>
        <w:rPr/>
        <w:t xml:space="preserve">After application of undercoat.</w:t>
      </w:r>
    </w:p>
    <w:p>
      <w:pPr>
        <w:pStyle w:val="NormalIndent"/>
      </w:pPr>
      <w:r>
        <w:rPr/>
        <w:t xml:space="preserve">After application of each subsequent coat.</w:t>
      </w:r>
    </w:p>
    <w:p>
      <w:pPr>
        <w:pStyle w:val="Instructions"/>
      </w:pPr>
      <w:r>
        <w:rPr/>
        <w:t xml:space="preserve">Amend to suit the project, adding critical stage inspections required. </w:t>
      </w:r>
      <w:r>
        <w:rPr>
          <w:b/>
        </w:rPr>
        <w:t xml:space="preserve">Hold points</w:t>
      </w:r>
      <w:r>
        <w:rPr/>
        <w:t xml:space="preserve">, if required, should be inserted here.</w:t>
      </w:r>
    </w:p>
    <w:bookmarkEnd w:id="127"/>
    <w:bookmarkEnd w:id="126"/>
    <w:bookmarkStart w:name="f-77077-content" w:id="129"/>
    <w:p>
      <w:pPr>
        <w:pStyle w:val="Heading2"/>
      </w:pPr>
      <w:bookmarkStart w:name="h-77077-content" w:id="130"/>
      <w:r>
        <w:rPr/>
        <w:t xml:space="preserve">Products</w:t>
      </w:r>
      <w:bookmarkEnd w:id="130"/>
    </w:p>
    <w:bookmarkEnd w:id="129"/>
    <w:bookmarkStart w:name="f-82330" w:id="131"/>
    <w:bookmarkStart w:name="f-82330-content1" w:id="132"/>
    <w:p>
      <w:pPr>
        <w:pStyle w:val="Heading3"/>
      </w:pPr>
      <w:bookmarkStart w:name="h-82330-content1" w:id="133"/>
      <w:r>
        <w:rPr/>
        <w:t xml:space="preserve">General</w:t>
      </w:r>
      <w:bookmarkEnd w:id="133"/>
    </w:p>
    <w:bookmarkEnd w:id="132"/>
    <w:bookmarkEnd w:id="131"/>
    <w:bookmarkStart w:name="f-99935" w:id="134"/>
    <w:bookmarkStart w:name="f-99935-2" w:id="135"/>
    <w:p>
      <w:pPr>
        <w:pStyle w:val="Heading4"/>
      </w:pPr>
      <w:bookmarkStart w:name="h-99935-2" w:id="136"/>
      <w:r>
        <w:rPr/>
        <w:t xml:space="preserve">Product substitution</w:t>
      </w:r>
      <w:bookmarkEnd w:id="136"/>
    </w:p>
    <w:p>
      <w:pPr>
        <w:pStyle w:val="Normal"/>
      </w:pPr>
      <w:r>
        <w:rPr/>
        <w:t xml:space="preserve">Other products: Conform to PRODUCTS, </w:t>
      </w:r>
      <w:r>
        <w:rPr>
          <w:b/>
        </w:rPr>
        <w:t xml:space="preserve">GENERAL</w:t>
      </w:r>
      <w:r>
        <w:rPr/>
        <w:t xml:space="preserve">, </w:t>
      </w:r>
      <w:r>
        <w:rPr>
          <w:b/>
        </w:rPr>
        <w:t xml:space="preserve">Substitutions</w:t>
      </w:r>
      <w:r>
        <w:rPr/>
        <w:t xml:space="preserve"> in </w:t>
      </w:r>
      <w:r>
        <w:rPr>
          <w:i/>
        </w:rPr>
        <w:t xml:space="preserve">0171 General requirements</w:t>
      </w:r>
      <w:r>
        <w:rPr/>
        <w:t xml:space="preserve">.</w:t>
      </w:r>
    </w:p>
    <w:p>
      <w:pPr>
        <w:pStyle w:val="Instructions"/>
      </w:pPr>
      <w:r>
        <w:rPr/>
        <w:t xml:space="preserve">The </w:t>
      </w:r>
      <w:r>
        <w:rPr>
          <w:i/>
        </w:rPr>
        <w:t xml:space="preserve">0171 General requirements</w:t>
      </w:r>
      <w:r>
        <w:rPr/>
        <w:t xml:space="preserve"> clause sets out the submissions required if the contractor proposes alternative products. Refer also to NATSPEC TECHnote GEN 006 for more information on proprietary specification.</w:t>
      </w:r>
    </w:p>
    <w:bookmarkEnd w:id="135"/>
    <w:bookmarkEnd w:id="134"/>
    <w:bookmarkStart w:name="f-62675" w:id="137"/>
    <w:bookmarkStart w:name="f-62675-content1" w:id="138"/>
    <w:p>
      <w:pPr>
        <w:pStyle w:val="Heading4"/>
      </w:pPr>
      <w:bookmarkStart w:name="h-62675-content1" w:id="139"/>
      <w:r>
        <w:rPr/>
        <w:t xml:space="preserve">Product identification</w:t>
      </w:r>
      <w:bookmarkEnd w:id="139"/>
    </w:p>
    <w:p>
      <w:pPr>
        <w:pStyle w:val="Normal"/>
      </w:pPr>
      <w:r>
        <w:rPr/>
        <w:t xml:space="preserve">General: Marked to show the following:</w:t>
      </w:r>
    </w:p>
    <w:p>
      <w:pPr>
        <w:pStyle w:val="NormalIndent"/>
      </w:pPr>
      <w:r>
        <w:rPr/>
        <w:t xml:space="preserve">Manufacturer’s identification.</w:t>
      </w:r>
    </w:p>
    <w:p>
      <w:pPr>
        <w:pStyle w:val="NormalIndent"/>
      </w:pPr>
      <w:r>
        <w:rPr/>
        <w:t xml:space="preserve">Product brand name.</w:t>
      </w:r>
    </w:p>
    <w:p>
      <w:pPr>
        <w:pStyle w:val="NormalIndent"/>
      </w:pPr>
      <w:r>
        <w:rPr/>
        <w:t xml:space="preserve">Product type.</w:t>
      </w:r>
    </w:p>
    <w:p>
      <w:pPr>
        <w:pStyle w:val="NormalIndent"/>
      </w:pPr>
      <w:r>
        <w:rPr/>
        <w:t xml:space="preserve">Quantity.</w:t>
      </w:r>
    </w:p>
    <w:p>
      <w:pPr>
        <w:pStyle w:val="NormalIndent"/>
      </w:pPr>
      <w:r>
        <w:rPr/>
        <w:t xml:space="preserve">Product reference code and batch number.</w:t>
      </w:r>
    </w:p>
    <w:p>
      <w:pPr>
        <w:pStyle w:val="NormalIndent"/>
      </w:pPr>
      <w:r>
        <w:rPr/>
        <w:t xml:space="preserve">Material composition and characteristics such as volatility, flash point, light fastness, colour and pattern.</w:t>
      </w:r>
    </w:p>
    <w:p>
      <w:pPr>
        <w:pStyle w:val="Instructions"/>
      </w:pPr>
      <w:r>
        <w:rPr/>
        <w:t xml:space="preserve">Edit the list to suit the project or delete if not required.</w:t>
      </w:r>
    </w:p>
    <w:bookmarkEnd w:id="138"/>
    <w:bookmarkEnd w:id="137"/>
    <w:bookmarkStart w:name="f-88689" w:id="140"/>
    <w:bookmarkStart w:name="f-88689-content1" w:id="141"/>
    <w:p>
      <w:pPr>
        <w:pStyle w:val="Heading4"/>
      </w:pPr>
      <w:bookmarkStart w:name="h-88689-content1" w:id="142"/>
      <w:r>
        <w:rPr/>
        <w:t xml:space="preserve">Delivery</w:t>
      </w:r>
      <w:bookmarkEnd w:id="142"/>
    </w:p>
    <w:p>
      <w:pPr>
        <w:pStyle w:val="Normal"/>
      </w:pPr>
      <w:r>
        <w:rPr/>
        <w:t xml:space="preserve">General: Deliver coatings to the site in the manufacturer’s labelled and unopened containers.</w:t>
      </w:r>
    </w:p>
    <w:bookmarkEnd w:id="141"/>
    <w:bookmarkEnd w:id="140"/>
    <w:bookmarkStart w:name="f-182601" w:id="143"/>
    <w:bookmarkStart w:name="f-182601-1" w:id="144"/>
    <w:p>
      <w:pPr>
        <w:pStyle w:val="Heading4"/>
      </w:pPr>
      <w:bookmarkStart w:name="h-182601-1" w:id="145"/>
      <w:r>
        <w:rPr/>
        <w:t xml:space="preserve">Storage and handling</w:t>
      </w:r>
      <w:bookmarkEnd w:id="145"/>
    </w:p>
    <w:p>
      <w:pPr>
        <w:pStyle w:val="Normal"/>
      </w:pPr>
      <w:r>
        <w:rPr/>
        <w:t xml:space="preserve">General: Store materials not in use in tightly covered containers in well-ventilated areas with temperatures maintained at the manufacturer’s recommendations.</w:t>
      </w:r>
    </w:p>
    <w:bookmarkEnd w:id="144"/>
    <w:bookmarkEnd w:id="143"/>
    <w:bookmarkStart w:name="f-89134" w:id="146"/>
    <w:bookmarkStart w:name="f-89134-content1" w:id="147"/>
    <w:p>
      <w:pPr>
        <w:pStyle w:val="Heading3"/>
      </w:pPr>
      <w:bookmarkStart w:name="h-89134-content1" w:id="148"/>
      <w:r>
        <w:rPr/>
        <w:t xml:space="preserve">Coatings</w:t>
      </w:r>
      <w:bookmarkEnd w:id="148"/>
    </w:p>
    <w:bookmarkEnd w:id="147"/>
    <w:bookmarkEnd w:id="146"/>
    <w:bookmarkStart w:name="f-78797" w:id="149"/>
    <w:bookmarkStart w:name="f-78797-content1" w:id="150"/>
    <w:p>
      <w:pPr>
        <w:pStyle w:val="Heading4"/>
      </w:pPr>
      <w:bookmarkStart w:name="h-78797-content1" w:id="151"/>
      <w:r>
        <w:rPr/>
        <w:t xml:space="preserve">Standards</w:t>
      </w:r>
      <w:bookmarkEnd w:id="151"/>
    </w:p>
    <w:p>
      <w:pPr>
        <w:pStyle w:val="Normal"/>
      </w:pPr>
      <w:r>
        <w:rPr/>
        <w:t xml:space="preserve">Coating types:</w:t>
      </w:r>
    </w:p>
    <w:p>
      <w:pPr>
        <w:pStyle w:val="NormalIndent"/>
      </w:pPr>
      <w:r>
        <w:rPr/>
        <w:t xml:space="preserve">Wall coatings - latex extensible: To AS/NZS 4548.1.</w:t>
      </w:r>
    </w:p>
    <w:p>
      <w:pPr>
        <w:pStyle w:val="NormalIndent"/>
      </w:pPr>
      <w:r>
        <w:rPr/>
        <w:t xml:space="preserve">Latex finish coatings – high-build, low profile: To AS/NZS 4548.2.</w:t>
      </w:r>
    </w:p>
    <w:p>
      <w:pPr>
        <w:pStyle w:val="NormalIndent"/>
      </w:pPr>
      <w:r>
        <w:rPr/>
        <w:t xml:space="preserve">Latex – textured coatings – non aggregate: To AS/NZS 4548.3.</w:t>
      </w:r>
    </w:p>
    <w:p>
      <w:pPr>
        <w:pStyle w:val="NormalIndent"/>
      </w:pPr>
      <w:r>
        <w:rPr/>
        <w:t xml:space="preserve">Latex – textured coatings – aggregate filled: To AS/NZS 4548.4.</w:t>
      </w:r>
    </w:p>
    <w:bookmarkEnd w:id="150"/>
    <w:bookmarkEnd w:id="149"/>
    <w:bookmarkStart w:name="f-75891" w:id="152"/>
    <w:bookmarkStart w:name="f-75891-content1" w:id="153"/>
    <w:p>
      <w:pPr>
        <w:pStyle w:val="Heading4"/>
      </w:pPr>
      <w:bookmarkStart w:name="h-75891-content1" w:id="154"/>
      <w:r>
        <w:rPr/>
        <w:t xml:space="preserve">Combinations</w:t>
      </w:r>
      <w:bookmarkEnd w:id="154"/>
    </w:p>
    <w:p>
      <w:pPr>
        <w:pStyle w:val="Normal"/>
      </w:pPr>
      <w:r>
        <w:rPr/>
        <w:t xml:space="preserve">General: Do not combine coatings from different manufacturers in a coating system.</w:t>
      </w:r>
    </w:p>
    <w:bookmarkEnd w:id="153"/>
    <w:bookmarkEnd w:id="152"/>
    <w:bookmarkStart w:name="f-93005" w:id="155"/>
    <w:bookmarkStart w:name="f-93005-content1" w:id="156"/>
    <w:p>
      <w:pPr>
        <w:pStyle w:val="Heading4"/>
      </w:pPr>
      <w:bookmarkStart w:name="h-93005-content1" w:id="157"/>
      <w:r>
        <w:rPr/>
        <w:t xml:space="preserve">Tinting</w:t>
      </w:r>
      <w:bookmarkEnd w:id="157"/>
    </w:p>
    <w:p>
      <w:pPr>
        <w:pStyle w:val="Normal"/>
      </w:pPr>
      <w:r>
        <w:rPr/>
        <w:t xml:space="preserve">General: Provide only products which are colour tinted by the manufacturer.</w:t>
      </w:r>
    </w:p>
    <w:bookmarkEnd w:id="156"/>
    <w:bookmarkEnd w:id="155"/>
    <w:bookmarkStart w:name="f-80107" w:id="158"/>
    <w:bookmarkStart w:name="f-80107-content1" w:id="159"/>
    <w:p>
      <w:pPr>
        <w:pStyle w:val="Heading4"/>
      </w:pPr>
      <w:bookmarkStart w:name="h-80107-content1" w:id="160"/>
      <w:r>
        <w:rPr/>
        <w:t xml:space="preserve">Toxic ingredients</w:t>
      </w:r>
      <w:bookmarkEnd w:id="160"/>
    </w:p>
    <w:p>
      <w:pPr>
        <w:pStyle w:val="Normal"/>
      </w:pPr>
      <w:r>
        <w:rPr/>
        <w:t xml:space="preserve">General: To the </w:t>
      </w:r>
      <w:r>
        <w:rPr>
          <w:i/>
        </w:rPr>
        <w:t xml:space="preserve">Poisons Standard (SUSMP)</w:t>
      </w:r>
      <w:r>
        <w:rPr/>
        <w:t xml:space="preserve"> Part 2 Section 7.</w:t>
      </w:r>
    </w:p>
    <w:p>
      <w:pPr>
        <w:pStyle w:val="Instructions"/>
      </w:pPr>
      <w:r>
        <w:rPr/>
        <w:t xml:space="preserve">Part 2 Section 7 contains two groups. The first lists toxic pigment components such as barium and cadmium and the second lists toxic solvents. The First Group of paints are banned for use on roofs, furniture, fences and gates, surface of non-industrial buildings and in premises used for products intended for human consumption. Check for any state variations.</w:t>
      </w:r>
    </w:p>
    <w:bookmarkEnd w:id="159"/>
    <w:bookmarkEnd w:id="158"/>
    <w:bookmarkStart w:name="f-92521" w:id="161"/>
    <w:bookmarkStart w:name="f-92521-content" w:id="162"/>
    <w:p>
      <w:pPr>
        <w:pStyle w:val="Heading2"/>
      </w:pPr>
      <w:bookmarkStart w:name="h-92521-content" w:id="163"/>
      <w:r>
        <w:rPr/>
        <w:t xml:space="preserve">Execution</w:t>
      </w:r>
      <w:bookmarkEnd w:id="163"/>
    </w:p>
    <w:bookmarkEnd w:id="162"/>
    <w:bookmarkEnd w:id="161"/>
    <w:bookmarkStart w:name="f-66147" w:id="164"/>
    <w:bookmarkStart w:name="f-66147-content1" w:id="165"/>
    <w:p>
      <w:pPr>
        <w:pStyle w:val="Heading3"/>
      </w:pPr>
      <w:bookmarkStart w:name="h-66147-content1" w:id="166"/>
      <w:r>
        <w:rPr/>
        <w:t xml:space="preserve">Preparation</w:t>
      </w:r>
      <w:bookmarkEnd w:id="166"/>
    </w:p>
    <w:p>
      <w:pPr>
        <w:pStyle w:val="Instructions"/>
      </w:pPr>
      <w:r>
        <w:rPr/>
        <w:t xml:space="preserve">Previously painted surfaces may require specific reference to one of the methods recommended in AS/NZS 2311 Section 7 which deals with pre-treatment - for example mechanical power cleaning, flame cleaning, water blasting. For previously painted surfaces which may contain lead, refer to AS/NZS 4361.2.</w:t>
      </w:r>
    </w:p>
    <w:bookmarkEnd w:id="165"/>
    <w:bookmarkEnd w:id="164"/>
    <w:bookmarkStart w:name="f-96809" w:id="167"/>
    <w:bookmarkStart w:name="f-96809-content1" w:id="168"/>
    <w:p>
      <w:pPr>
        <w:pStyle w:val="Heading4"/>
      </w:pPr>
      <w:bookmarkStart w:name="h-96809-content1" w:id="169"/>
      <w:r>
        <w:rPr/>
        <w:t xml:space="preserve">Standard</w:t>
      </w:r>
      <w:bookmarkEnd w:id="169"/>
    </w:p>
    <w:p>
      <w:pPr>
        <w:pStyle w:val="Normal"/>
      </w:pPr>
      <w:r>
        <w:rPr/>
        <w:t xml:space="preserve">General: To AS/NZS 2311 Section 3.</w:t>
      </w:r>
    </w:p>
    <w:bookmarkEnd w:id="168"/>
    <w:bookmarkEnd w:id="167"/>
    <w:bookmarkStart w:name="f-87146" w:id="170"/>
    <w:bookmarkStart w:name="f-87146-content1" w:id="171"/>
    <w:p>
      <w:pPr>
        <w:pStyle w:val="Heading4"/>
      </w:pPr>
      <w:bookmarkStart w:name="h-87146-content1" w:id="172"/>
      <w:r>
        <w:rPr/>
        <w:t xml:space="preserve">Order of work</w:t>
      </w:r>
      <w:bookmarkEnd w:id="172"/>
    </w:p>
    <w:p>
      <w:pPr>
        <w:pStyle w:val="Normal"/>
      </w:pPr>
      <w:r>
        <w:rPr/>
        <w:t xml:space="preserve">Other trades: Before applying textured and membrane coatings, complete the work of other trades as far as practicable within the area to be coated.</w:t>
      </w:r>
    </w:p>
    <w:bookmarkEnd w:id="171"/>
    <w:bookmarkEnd w:id="170"/>
    <w:bookmarkStart w:name="f-90106" w:id="173"/>
    <w:bookmarkStart w:name="f-90106-content1" w:id="174"/>
    <w:p>
      <w:pPr>
        <w:pStyle w:val="Heading4"/>
      </w:pPr>
      <w:bookmarkStart w:name="h-90106-content1" w:id="175"/>
      <w:r>
        <w:rPr/>
        <w:t xml:space="preserve">Protection</w:t>
      </w:r>
      <w:bookmarkEnd w:id="175"/>
    </w:p>
    <w:p>
      <w:pPr>
        <w:pStyle w:val="Normal"/>
      </w:pPr>
      <w:r>
        <w:rPr/>
        <w:t xml:space="preserve">Fixtures: Remove door furniture, switch plates, light fittings and other fixtures before starting coating, and refix in position undamaged on completion of the coating.</w:t>
      </w:r>
    </w:p>
    <w:p>
      <w:pPr>
        <w:pStyle w:val="Normal"/>
      </w:pPr>
      <w:r>
        <w:rPr/>
        <w:t xml:space="preserve">Adjacent surfaces: Protect adjacent finished surfaces liable to damage from coating operations.</w:t>
      </w:r>
    </w:p>
    <w:bookmarkEnd w:id="174"/>
    <w:bookmarkEnd w:id="173"/>
    <w:bookmarkStart w:name="f-72792" w:id="176"/>
    <w:bookmarkStart w:name="f-72792-content1" w:id="177"/>
    <w:p>
      <w:pPr>
        <w:pStyle w:val="Heading4"/>
      </w:pPr>
      <w:bookmarkStart w:name="h-72792-content1" w:id="178"/>
      <w:r>
        <w:rPr/>
        <w:t xml:space="preserve">Substrates</w:t>
      </w:r>
      <w:bookmarkEnd w:id="178"/>
    </w:p>
    <w:p>
      <w:pPr>
        <w:pStyle w:val="Normal"/>
      </w:pPr>
      <w:r>
        <w:rPr/>
        <w:t xml:space="preserve">General: Prepare substrates to receive the coating systems.</w:t>
      </w:r>
    </w:p>
    <w:p>
      <w:pPr>
        <w:pStyle w:val="Normal"/>
      </w:pPr>
      <w:r>
        <w:rPr/>
        <w:t xml:space="preserve">Cleaning: Clean down the substrate surface. Do not cause undue damage to the substrate or damage to, or contamination of, the surroundings.</w:t>
      </w:r>
    </w:p>
    <w:p>
      <w:pPr>
        <w:pStyle w:val="Normal"/>
      </w:pPr>
      <w:r>
        <w:rPr/>
        <w:t xml:space="preserve">Filling: Fill cracks and holes with fillers, sealants or grouting cements as appropriate for the coating system and the substrate.</w:t>
      </w:r>
    </w:p>
    <w:p>
      <w:pPr>
        <w:pStyle w:val="Normal"/>
      </w:pPr>
      <w:r>
        <w:rPr/>
        <w:t xml:space="preserve">Moisture content: Use a moisture meter to demonstrate that the moisture content of the substrate is at or below the recommended maximum level for the type of coating and the substrate material.</w:t>
      </w:r>
    </w:p>
    <w:bookmarkEnd w:id="177"/>
    <w:bookmarkEnd w:id="176"/>
    <w:bookmarkStart w:name="f-89780" w:id="179"/>
    <w:bookmarkStart w:name="f-89780-content1" w:id="180"/>
    <w:p>
      <w:pPr>
        <w:pStyle w:val="Heading4"/>
      </w:pPr>
      <w:bookmarkStart w:name="h-89780-content1" w:id="181"/>
      <w:r>
        <w:rPr/>
        <w:t xml:space="preserve">Wet paint warning</w:t>
      </w:r>
      <w:bookmarkEnd w:id="181"/>
    </w:p>
    <w:p>
      <w:pPr>
        <w:pStyle w:val="Normal"/>
      </w:pPr>
      <w:r>
        <w:rPr/>
        <w:t xml:space="preserve">General: Place notices conspicuously and do not remove them until the coating is dry.</w:t>
      </w:r>
    </w:p>
    <w:bookmarkEnd w:id="180"/>
    <w:bookmarkEnd w:id="179"/>
    <w:bookmarkStart w:name="f-71363" w:id="182"/>
    <w:bookmarkStart w:name="f-71363-content" w:id="183"/>
    <w:p>
      <w:pPr>
        <w:pStyle w:val="Heading3"/>
      </w:pPr>
      <w:bookmarkStart w:name="h-71363-content" w:id="184"/>
      <w:r>
        <w:rPr/>
        <w:t xml:space="preserve">Application</w:t>
      </w:r>
      <w:bookmarkEnd w:id="184"/>
    </w:p>
    <w:bookmarkEnd w:id="183"/>
    <w:bookmarkEnd w:id="182"/>
    <w:bookmarkStart w:name="f-182602" w:id="185"/>
    <w:bookmarkStart w:name="f-182602-1" w:id="186"/>
    <w:p>
      <w:pPr>
        <w:pStyle w:val="Heading4"/>
      </w:pPr>
      <w:bookmarkStart w:name="h-182602-1" w:id="187"/>
      <w:r>
        <w:rPr/>
        <w:t xml:space="preserve">Proprietary coating systems</w:t>
      </w:r>
      <w:bookmarkEnd w:id="187"/>
    </w:p>
    <w:p>
      <w:pPr>
        <w:pStyle w:val="Normal"/>
      </w:pPr>
      <w:r>
        <w:rPr/>
        <w:t xml:space="preserve">General: Apply the complete coating system to the Granosite's product data sheets.</w:t>
      </w:r>
    </w:p>
    <w:bookmarkEnd w:id="186"/>
    <w:bookmarkEnd w:id="185"/>
    <w:bookmarkStart w:name="f-82261" w:id="188"/>
    <w:bookmarkStart w:name="f-82261-content1" w:id="189"/>
    <w:p>
      <w:pPr>
        <w:pStyle w:val="Heading4"/>
      </w:pPr>
      <w:bookmarkStart w:name="h-82261-content1" w:id="190"/>
      <w:r>
        <w:rPr/>
        <w:t xml:space="preserve">Standard</w:t>
      </w:r>
      <w:bookmarkEnd w:id="190"/>
    </w:p>
    <w:p>
      <w:pPr>
        <w:pStyle w:val="Normal"/>
      </w:pPr>
      <w:r>
        <w:rPr/>
        <w:t xml:space="preserve">Methods of application: To AS/NZS 2311 Section 6.</w:t>
      </w:r>
    </w:p>
    <w:bookmarkEnd w:id="189"/>
    <w:bookmarkEnd w:id="188"/>
    <w:bookmarkStart w:name="f-63561" w:id="191"/>
    <w:bookmarkStart w:name="f-63561-content1" w:id="192"/>
    <w:p>
      <w:pPr>
        <w:pStyle w:val="Heading4"/>
      </w:pPr>
      <w:bookmarkStart w:name="h-63561-content1" w:id="193"/>
      <w:r>
        <w:rPr/>
        <w:t xml:space="preserve">Light levels</w:t>
      </w:r>
      <w:bookmarkEnd w:id="193"/>
    </w:p>
    <w:p>
      <w:pPr>
        <w:pStyle w:val="Normal"/>
      </w:pPr>
      <w:r>
        <w:rPr/>
        <w:t xml:space="preserve">General: ≥ 400 lux.</w:t>
      </w:r>
    </w:p>
    <w:p>
      <w:pPr>
        <w:pStyle w:val="Instructions"/>
      </w:pPr>
      <w:r>
        <w:rPr/>
        <w:t xml:space="preserve">Amend for other artificial illumination conditions.</w:t>
      </w:r>
    </w:p>
    <w:bookmarkEnd w:id="192"/>
    <w:bookmarkEnd w:id="191"/>
    <w:bookmarkStart w:name="f-130286" w:id="194"/>
    <w:bookmarkStart w:name="f-130286-1" w:id="195"/>
    <w:p>
      <w:pPr>
        <w:pStyle w:val="Heading4"/>
      </w:pPr>
      <w:bookmarkStart w:name="h-130286-1" w:id="196"/>
      <w:r>
        <w:rPr/>
        <w:t xml:space="preserve">Coating conditions</w:t>
      </w:r>
      <w:bookmarkEnd w:id="196"/>
    </w:p>
    <w:p>
      <w:pPr>
        <w:pStyle w:val="Normal"/>
      </w:pPr>
      <w:r>
        <w:rPr/>
        <w:t xml:space="preserve">General: Unless the coating system is recommended by the manufacturer for such conditions, do not apply under the following conditions:</w:t>
      </w:r>
    </w:p>
    <w:p>
      <w:pPr>
        <w:pStyle w:val="NormalIndent"/>
      </w:pPr>
      <w:r>
        <w:rPr/>
        <w:t xml:space="preserve">Dusty conditions.</w:t>
      </w:r>
    </w:p>
    <w:p>
      <w:pPr>
        <w:pStyle w:val="NormalIndent"/>
      </w:pPr>
      <w:r>
        <w:rPr/>
        <w:t xml:space="preserve">Relative humidity: &gt; 85%.</w:t>
      </w:r>
    </w:p>
    <w:p>
      <w:pPr>
        <w:pStyle w:val="NormalIndent"/>
      </w:pPr>
      <w:r>
        <w:rPr/>
        <w:t xml:space="preserve">Surface temperature: &lt; 10°C or &gt; 35°C.</w:t>
      </w:r>
    </w:p>
    <w:bookmarkEnd w:id="195"/>
    <w:bookmarkEnd w:id="194"/>
    <w:bookmarkStart w:name="f-67620" w:id="197"/>
    <w:bookmarkStart w:name="f-67620-content1" w:id="198"/>
    <w:p>
      <w:pPr>
        <w:pStyle w:val="Heading4"/>
      </w:pPr>
      <w:bookmarkStart w:name="h-67620-content1" w:id="199"/>
      <w:r>
        <w:rPr/>
        <w:t xml:space="preserve">Coating application</w:t>
      </w:r>
      <w:bookmarkEnd w:id="199"/>
    </w:p>
    <w:p>
      <w:pPr>
        <w:pStyle w:val="Normal"/>
      </w:pPr>
      <w:r>
        <w:rPr/>
        <w:t xml:space="preserve">Timing: Apply the first coat immediately after substrate preparation and before contamination of the substrate can occur. Apply subsequent coats after the manufacturer’s recommended drying period has elapsed.</w:t>
      </w:r>
    </w:p>
    <w:bookmarkEnd w:id="198"/>
    <w:bookmarkEnd w:id="197"/>
    <w:bookmarkStart w:name="f-65743" w:id="200"/>
    <w:bookmarkStart w:name="f-65743-content1" w:id="201"/>
    <w:p>
      <w:pPr>
        <w:pStyle w:val="Heading4"/>
      </w:pPr>
      <w:bookmarkStart w:name="h-65743-content1" w:id="202"/>
      <w:r>
        <w:rPr/>
        <w:t xml:space="preserve">Spraying</w:t>
      </w:r>
      <w:bookmarkEnd w:id="202"/>
    </w:p>
    <w:p>
      <w:pPr>
        <w:pStyle w:val="Normal"/>
      </w:pPr>
      <w:r>
        <w:rPr/>
        <w:t xml:space="preserve">Coatings with known health hazards: Not permitted on site.</w:t>
      </w:r>
    </w:p>
    <w:bookmarkEnd w:id="201"/>
    <w:bookmarkEnd w:id="200"/>
    <w:bookmarkStart w:name="f-182603" w:id="203"/>
    <w:bookmarkStart w:name="f-182603-1" w:id="204"/>
    <w:p>
      <w:pPr>
        <w:pStyle w:val="Heading4"/>
      </w:pPr>
      <w:bookmarkStart w:name="h-182603-1" w:id="205"/>
      <w:r>
        <w:rPr/>
        <w:t xml:space="preserve">Repair</w:t>
      </w:r>
      <w:bookmarkEnd w:id="205"/>
    </w:p>
    <w:p>
      <w:pPr>
        <w:pStyle w:val="Normal"/>
      </w:pPr>
      <w:r>
        <w:rPr/>
        <w:t xml:space="preserve">General: Clean off marks, coating spots and stains progressively and restore damaged surfaces to their original condition.</w:t>
      </w:r>
    </w:p>
    <w:bookmarkEnd w:id="204"/>
    <w:bookmarkEnd w:id="203"/>
    <w:bookmarkStart w:name="f-96335" w:id="206"/>
    <w:bookmarkStart w:name="f-96335-content" w:id="207"/>
    <w:p>
      <w:pPr>
        <w:pStyle w:val="Heading3"/>
      </w:pPr>
      <w:bookmarkStart w:name="h-96335-content" w:id="208"/>
      <w:r>
        <w:rPr/>
        <w:t xml:space="preserve">Completion</w:t>
      </w:r>
      <w:bookmarkEnd w:id="208"/>
    </w:p>
    <w:bookmarkEnd w:id="207"/>
    <w:bookmarkEnd w:id="206"/>
    <w:bookmarkStart w:name="f-182604" w:id="209"/>
    <w:bookmarkStart w:name="f-182604-1" w:id="210"/>
    <w:p>
      <w:pPr>
        <w:pStyle w:val="Heading4"/>
      </w:pPr>
      <w:bookmarkStart w:name="h-182604-1" w:id="211"/>
      <w:r>
        <w:rPr/>
        <w:t xml:space="preserve">Cleaning</w:t>
      </w:r>
      <w:bookmarkEnd w:id="211"/>
    </w:p>
    <w:p>
      <w:pPr>
        <w:pStyle w:val="Normal"/>
      </w:pPr>
      <w:r>
        <w:rPr/>
        <w:t xml:space="preserve">General: On completion, remove splatters by washing, scraping or other methods which do not scratch or damage adjacent finished surfaces.</w:t>
      </w:r>
    </w:p>
    <w:p>
      <w:pPr>
        <w:pStyle w:val="Normal"/>
      </w:pPr>
      <w:r>
        <w:rPr/>
        <w:t xml:space="preserve">Reinstatement: Repair, replace or refinish any damage, including works of other trades. Touch up new damaged coatings or misses only with the same coating product batch used in the original application.</w:t>
      </w:r>
    </w:p>
    <w:p>
      <w:pPr>
        <w:pStyle w:val="Normal"/>
      </w:pPr>
      <w:r>
        <w:rPr/>
        <w:t xml:space="preserve">Fixtures: Refix removed and undamaged fixture in the original location, make sure they are properly fitted and in proper working order.</w:t>
      </w:r>
    </w:p>
    <w:bookmarkEnd w:id="210"/>
    <w:bookmarkEnd w:id="209"/>
    <w:bookmarkStart w:name="f-182605" w:id="212"/>
    <w:bookmarkStart w:name="f-182605-1" w:id="213"/>
    <w:p>
      <w:pPr>
        <w:pStyle w:val="Heading4"/>
      </w:pPr>
      <w:bookmarkStart w:name="h-182605-1" w:id="214"/>
      <w:r>
        <w:rPr/>
        <w:t xml:space="preserve">Disposal of products and waste materials</w:t>
      </w:r>
      <w:bookmarkEnd w:id="214"/>
    </w:p>
    <w:p>
      <w:pPr>
        <w:pStyle w:val="Normal"/>
      </w:pPr>
      <w:r>
        <w:rPr/>
        <w:t xml:space="preserve">Requirement: Conform to requirements of the local government authority.</w:t>
      </w:r>
    </w:p>
    <w:p>
      <w:pPr>
        <w:pStyle w:val="Instructions"/>
      </w:pPr>
      <w:r>
        <w:rPr/>
        <w:t xml:space="preserve">Consider including requirements for the disposal of all hazardous materials associated with coating systems. Check if the local council waste facility caters for the disposal of paint and painting waste materials or if the paint manufacturer has a collection and recycling plan.</w:t>
      </w:r>
    </w:p>
    <w:bookmarkEnd w:id="213"/>
    <w:bookmarkEnd w:id="212"/>
    <w:bookmarkStart w:name="f-69036" w:id="215"/>
    <w:bookmarkStart w:name="f-69036-content1" w:id="216"/>
    <w:p>
      <w:pPr>
        <w:pStyle w:val="Heading4"/>
      </w:pPr>
      <w:bookmarkStart w:name="h-69036-content1" w:id="217"/>
      <w:r>
        <w:rPr/>
        <w:t xml:space="preserve">Warranties</w:t>
      </w:r>
      <w:bookmarkEnd w:id="217"/>
    </w:p>
    <w:p>
      <w:pPr>
        <w:pStyle w:val="Normal"/>
      </w:pPr>
      <w:r>
        <w:rPr/>
        <w:t xml:space="preserve">Requirement: Provide the coating manufacturer's warranty.</w:t>
      </w:r>
    </w:p>
    <w:p>
      <w:pPr>
        <w:pStyle w:val="Prompt"/>
      </w:pPr>
      <w:r>
        <w:rPr/>
        <w:t xml:space="preserve">Manufacturer's warranty period: </w:t>
      </w:r>
      <w:r>
        <w:fldChar w:fldCharType="begin"/>
        <w:instrText xml:space="preserve"> MACROBUTTON  ac_OnHelp [complete/delete]</w:instrText>
        <w:fldChar w:fldCharType="separate"/>
        <w:t xml:space="preserve"> </w:t>
        <w:fldChar w:fldCharType="end"/>
      </w:r>
    </w:p>
    <w:p>
      <w:pPr>
        <w:pStyle w:val="Instructions"/>
      </w:pPr>
      <w:r>
        <w:rPr/>
        <w:t xml:space="preserve">As available in the market.</w:t>
      </w:r>
    </w:p>
    <w:p>
      <w:pPr>
        <w:pStyle w:val="Normal"/>
      </w:pPr>
      <w:r>
        <w:rPr/>
        <w:t xml:space="preserve">Interlocking performance warranty: Provide an interlocking performance warranty that includes materials and application:</w:t>
      </w:r>
    </w:p>
    <w:p>
      <w:pPr>
        <w:pStyle w:val="NormalIndent"/>
      </w:pPr>
      <w:r>
        <w:rPr/>
        <w:t xml:space="preserve">Form: Against failure of materials and execution under the normal environment and use conditions.</w:t>
      </w:r>
    </w:p>
    <w:p>
      <w:pPr>
        <w:pStyle w:val="Prompt"/>
      </w:pPr>
      <w:r>
        <w:rPr/>
        <w:t xml:space="preserve">Interlocking warranty period: </w:t>
      </w:r>
      <w:r>
        <w:fldChar w:fldCharType="begin"/>
        <w:instrText xml:space="preserve"> MACROBUTTON  ac_OnHelp [complete/delete]</w:instrText>
        <w:fldChar w:fldCharType="separate"/>
        <w:t xml:space="preserve"> </w:t>
        <w:fldChar w:fldCharType="end"/>
      </w:r>
    </w:p>
    <w:p>
      <w:pPr>
        <w:pStyle w:val="Instructions"/>
      </w:pPr>
      <w:r>
        <w:rPr/>
        <w:t xml:space="preserve">As available in the market.</w:t>
      </w:r>
    </w:p>
    <w:bookmarkEnd w:id="216"/>
    <w:bookmarkEnd w:id="215"/>
    <w:bookmarkStart w:name="f-68073" w:id="218"/>
    <w:bookmarkStart w:name="f-68073-content" w:id="219"/>
    <w:p>
      <w:pPr>
        <w:pStyle w:val="Heading2"/>
      </w:pPr>
      <w:bookmarkStart w:name="h-68073-content" w:id="220"/>
      <w:r>
        <w:rPr/>
        <w:t xml:space="preserve">Selections</w:t>
      </w:r>
      <w:bookmarkEnd w:id="220"/>
    </w:p>
    <w:bookmarkEnd w:id="219"/>
    <w:bookmarkEnd w:id="218"/>
    <w:bookmarkStart w:name="f-99936" w:id="221"/>
    <w:bookmarkStart w:name="f-99936-2" w:id="222"/>
    <w:p>
      <w:pPr>
        <w:pStyle w:val="Instructions"/>
      </w:pPr>
      <w:r>
        <w:rPr>
          <w:b/>
        </w:rPr>
        <w:t xml:space="preserve">Schedules</w:t>
      </w:r>
      <w:r>
        <w:rPr/>
        <w:t xml:space="preserve"> are a way of documenting a selection of proprietary or generic products or systems by their properties. Indicate their locations here and/or on the drawings. Refer to NATSPEC TECHnote GEN 024 for guidance on using and editing schedules.</w:t>
      </w:r>
    </w:p>
    <w:bookmarkEnd w:id="222"/>
    <w:bookmarkEnd w:id="221"/>
    <w:bookmarkStart w:name="f-130386" w:id="223"/>
    <w:bookmarkStart w:name="f-130386-1" w:id="224"/>
    <w:p>
      <w:pPr>
        <w:pStyle w:val="Instructions"/>
      </w:pPr>
      <w:r>
        <w:rPr/>
        <w:t xml:space="preserve">The </w:t>
      </w:r>
      <w:r>
        <w:rPr>
          <w:b/>
        </w:rPr>
        <w:t xml:space="preserve">COATING SCHEDULES</w:t>
      </w:r>
      <w:r>
        <w:rPr/>
        <w:t xml:space="preserve"> include coating systems for the most common substrates. See </w:t>
      </w:r>
      <w:r>
        <w:rPr>
          <w:b/>
        </w:rPr>
        <w:t xml:space="preserve">MANUFACTURER’S DOCUMENTS</w:t>
      </w:r>
      <w:r>
        <w:rPr/>
        <w:t xml:space="preserve"> for web link of system specification sheets for other substrates.</w:t>
      </w:r>
    </w:p>
    <w:bookmarkEnd w:id="224"/>
    <w:bookmarkEnd w:id="223"/>
    <w:bookmarkStart w:name="f-91372-content" w:id="225"/>
    <w:p>
      <w:pPr>
        <w:pStyle w:val="Heading3"/>
      </w:pPr>
      <w:bookmarkStart w:name="h-91372-content" w:id="226"/>
      <w:r>
        <w:rPr/>
        <w:t xml:space="preserve">Granosite coating schedules</w:t>
      </w:r>
      <w:bookmarkEnd w:id="226"/>
    </w:p>
    <w:bookmarkEnd w:id="225"/>
    <w:bookmarkStart w:name="f-96962" w:id="227"/>
    <w:bookmarkStart w:name="f-96962-content1" w:id="228"/>
    <w:p>
      <w:pPr>
        <w:pStyle w:val="Heading4"/>
      </w:pPr>
      <w:bookmarkStart w:name="h-96962-content1" w:id="229"/>
      <w:r>
        <w:rPr/>
        <w:t xml:space="preserve">Elastomeric coating: Highest performance low profile texture finish schedule</w:t>
      </w:r>
      <w:bookmarkEnd w:id="229"/>
    </w:p>
    <w:p>
      <w:pPr>
        <w:pStyle w:val="Instructions"/>
      </w:pPr>
      <w:r>
        <w:rPr/>
        <w:t xml:space="preserve">Highest performance Granosite top coat.</w:t>
      </w:r>
    </w:p>
    <w:p>
      <w:pPr>
        <w:pStyle w:val="Instructions"/>
      </w:pPr>
      <w:r>
        <w:rPr/>
        <w:t xml:space="preserve">Suitable for specialty substrate systems.</w:t>
      </w:r>
    </w:p>
    <w:p>
      <w:pPr>
        <w:pStyle w:val="Instructions"/>
      </w:pPr>
      <w:r>
        <w:rPr/>
        <w:t xml:space="preserve">Superior flexibility and elasticity.</w:t>
      </w:r>
    </w:p>
    <w:p>
      <w:pPr>
        <w:pStyle w:val="Instructions"/>
      </w:pPr>
      <w:r>
        <w:rPr/>
        <w:t xml:space="preserve">Superior façade waterproofing performance.</w:t>
      </w:r>
    </w:p>
    <w:p>
      <w:pPr>
        <w:pStyle w:val="Instructions"/>
      </w:pPr>
      <w:r>
        <w:rPr/>
        <w:t xml:space="preserve">Anti-carbonation and chloride ion protection.</w:t>
      </w:r>
    </w:p>
    <w:p>
      <w:pPr>
        <w:pStyle w:val="Instructions"/>
      </w:pPr>
      <w:r>
        <w:rPr/>
        <w:t xml:space="preserve">Low profile texture.</w:t>
      </w:r>
    </w:p>
    <w:tbl>
      <w:tblGrid>
        <w:gridCol w:w="2000"/>
        <w:gridCol w:w="2000"/>
        <w:gridCol w:w="2000"/>
        <w:gridCol w:w="2000"/>
        <w:gridCol w:w="2000"/>
      </w:tblGrid>
      <w:tblPr>
        <w:tblStyle w:val="NATSPECTable"/>
        <w:tblW w:w="5000" w:type="pct"/>
        <w:tblLook w:val="05E0" w:firstRow="1" w:lastRow="0" w:firstColumn="0" w:lastColumn="0"/>
      </w:tblPr>
      <w:tr>
        <w:trPr>
          <w:tblHeader/>
        </w:trPr>
        <w:tc>
          <w:tcPr>
            <w:tcW w:w="2000" w:type="dxa"/>
          </w:tcPr>
          <w:p>
            <w:pPr>
              <w:pStyle w:val="Tabletitle"/>
            </w:pPr>
            <w:r>
              <w:rPr/>
              <w:t xml:space="preserve">Coating code</w:t>
            </w:r>
          </w:p>
        </w:tc>
        <w:tc>
          <w:tcPr>
            <w:tcW w:w="2000" w:type="dxa"/>
          </w:tcPr>
          <w:p>
            <w:pPr>
              <w:pStyle w:val="Tabletitle"/>
            </w:pPr>
            <w:r>
              <w:rPr/>
              <w:t xml:space="preserve">Substrate</w:t>
            </w:r>
          </w:p>
        </w:tc>
        <w:tc>
          <w:tcPr>
            <w:tcW w:w="2000" w:type="dxa"/>
          </w:tcPr>
          <w:p>
            <w:pPr>
              <w:pStyle w:val="Tabletitle"/>
            </w:pPr>
            <w:r>
              <w:rPr/>
              <w:t xml:space="preserve">Top coat</w:t>
            </w:r>
          </w:p>
        </w:tc>
        <w:tc>
          <w:tcPr>
            <w:tcW w:w="2000" w:type="dxa"/>
          </w:tcPr>
          <w:p>
            <w:pPr>
              <w:pStyle w:val="Tabletitle"/>
            </w:pPr>
            <w:r>
              <w:rPr/>
              <w:t xml:space="preserve">Coating system</w:t>
            </w:r>
          </w:p>
        </w:tc>
        <w:tc>
          <w:tcPr>
            <w:tcW w:w="2000" w:type="dxa"/>
          </w:tcPr>
          <w:p>
            <w:pPr>
              <w:pStyle w:val="Tabletitle"/>
            </w:pPr>
            <w:r>
              <w:rPr/>
              <w:t xml:space="preserve">Colour reference</w:t>
            </w:r>
          </w:p>
        </w:tc>
      </w:tr>
      <w:tr>
        <w:tc>
          <w:tcPr>
            <w:tcW w:w="2000" w:type="dxa"/>
          </w:tcPr>
          <w:p>
            <w:pPr>
              <w:pStyle w:val="Tabletext"/>
            </w:pPr>
            <w:r>
              <w:rPr/>
              <w:t xml:space="preserve"> </w:t>
            </w:r>
          </w:p>
        </w:tc>
        <w:tc>
          <w:tcPr>
            <w:tcW w:w="2000" w:type="dxa"/>
          </w:tcPr>
          <w:p>
            <w:pPr>
              <w:pStyle w:val="Tabletext"/>
            </w:pPr>
            <w:r>
              <w:rPr/>
              <w:t xml:space="preserve">Brickwork / Blockwork / Masonry</w:t>
            </w:r>
          </w:p>
        </w:tc>
        <w:tc>
          <w:tcPr>
            <w:tcW w:w="2000" w:type="dxa"/>
          </w:tcPr>
          <w:p>
            <w:pPr>
              <w:pStyle w:val="Tabletext"/>
            </w:pPr>
            <w:r>
              <w:rPr/>
              <w:t xml:space="preserve">GranoSkin Membrane</w:t>
            </w:r>
          </w:p>
        </w:tc>
        <w:tc>
          <w:tcPr>
            <w:tcW w:w="2000" w:type="dxa"/>
          </w:tcPr>
          <w:p>
            <w:pPr>
              <w:pStyle w:val="Tabletext"/>
            </w:pPr>
            <w:r>
              <w:rPr/>
              <w:t xml:space="preserve">GAU3020.08</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Cement Render</w:t>
            </w:r>
          </w:p>
        </w:tc>
        <w:tc>
          <w:tcPr>
            <w:tcW w:w="2000" w:type="dxa"/>
          </w:tcPr>
          <w:p>
            <w:pPr>
              <w:pStyle w:val="Tabletext"/>
            </w:pPr>
            <w:r>
              <w:rPr/>
              <w:t xml:space="preserve">GranoSkin Membrane</w:t>
            </w:r>
          </w:p>
        </w:tc>
        <w:tc>
          <w:tcPr>
            <w:tcW w:w="2000" w:type="dxa"/>
          </w:tcPr>
          <w:p>
            <w:pPr>
              <w:pStyle w:val="Tabletext"/>
            </w:pPr>
            <w:r>
              <w:rPr/>
              <w:t xml:space="preserve">GAU3020.09</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Concrete: In situ/Off–form</w:t>
            </w:r>
          </w:p>
        </w:tc>
        <w:tc>
          <w:tcPr>
            <w:tcW w:w="2000" w:type="dxa"/>
          </w:tcPr>
          <w:p>
            <w:pPr>
              <w:pStyle w:val="Tabletext"/>
            </w:pPr>
            <w:r>
              <w:rPr/>
              <w:t xml:space="preserve">GranoSkin Membrane</w:t>
            </w:r>
          </w:p>
        </w:tc>
        <w:tc>
          <w:tcPr>
            <w:tcW w:w="2000" w:type="dxa"/>
          </w:tcPr>
          <w:p>
            <w:pPr>
              <w:pStyle w:val="Tabletext"/>
            </w:pPr>
            <w:r>
              <w:rPr/>
              <w:t xml:space="preserve">GAU3020.10</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Concrete: Precast/Tilt-up Panels</w:t>
            </w:r>
          </w:p>
        </w:tc>
        <w:tc>
          <w:tcPr>
            <w:tcW w:w="2000" w:type="dxa"/>
          </w:tcPr>
          <w:p>
            <w:pPr>
              <w:pStyle w:val="Tabletext"/>
            </w:pPr>
            <w:r>
              <w:rPr/>
              <w:t xml:space="preserve">GranoSkin Membrane</w:t>
            </w:r>
          </w:p>
        </w:tc>
        <w:tc>
          <w:tcPr>
            <w:tcW w:w="2000" w:type="dxa"/>
          </w:tcPr>
          <w:p>
            <w:pPr>
              <w:pStyle w:val="Tabletext"/>
            </w:pPr>
            <w:r>
              <w:rPr/>
              <w:t xml:space="preserve">GAU3020.12</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Autoclaved aerated concrete (AAC)</w:t>
            </w:r>
          </w:p>
        </w:tc>
        <w:tc>
          <w:tcPr>
            <w:tcW w:w="2000" w:type="dxa"/>
          </w:tcPr>
          <w:p>
            <w:pPr>
              <w:pStyle w:val="Tabletext"/>
            </w:pPr>
            <w:r>
              <w:rPr/>
              <w:t xml:space="preserve">GranoSkin Membrane</w:t>
            </w:r>
          </w:p>
        </w:tc>
        <w:tc>
          <w:tcPr>
            <w:tcW w:w="2000" w:type="dxa"/>
          </w:tcPr>
          <w:p>
            <w:pPr>
              <w:pStyle w:val="Tabletext"/>
            </w:pPr>
            <w:r>
              <w:rPr/>
              <w:t xml:space="preserve">GAU3020.21</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Fibre cement Sheet (FCS) with rebated edges e.g.:</w:t>
            </w:r>
          </w:p>
          <w:p>
            <w:pPr>
              <w:pStyle w:val="NormalIndent"/>
            </w:pPr>
            <w:r>
              <w:rPr/>
              <w:t xml:space="preserve">Cementil</w:t>
            </w:r>
          </w:p>
          <w:p>
            <w:pPr>
              <w:pStyle w:val="NormalIndent"/>
            </w:pPr>
            <w:r>
              <w:rPr/>
              <w:t xml:space="preserve">BGC</w:t>
            </w:r>
          </w:p>
        </w:tc>
        <w:tc>
          <w:tcPr>
            <w:tcW w:w="2000" w:type="dxa"/>
          </w:tcPr>
          <w:p>
            <w:pPr>
              <w:pStyle w:val="Tabletext"/>
            </w:pPr>
            <w:r>
              <w:rPr/>
              <w:t xml:space="preserve">GranoSkin Membrane</w:t>
            </w:r>
          </w:p>
        </w:tc>
        <w:tc>
          <w:tcPr>
            <w:tcW w:w="2000" w:type="dxa"/>
          </w:tcPr>
          <w:p>
            <w:pPr>
              <w:pStyle w:val="Tabletext"/>
            </w:pPr>
            <w:r>
              <w:rPr/>
              <w:t xml:space="preserve">GAU3020.11</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HardiTex Fibre cement Sheet (FCS) with rebated edges</w:t>
            </w:r>
          </w:p>
        </w:tc>
        <w:tc>
          <w:tcPr>
            <w:tcW w:w="2000" w:type="dxa"/>
          </w:tcPr>
          <w:p>
            <w:pPr>
              <w:pStyle w:val="Tabletext"/>
            </w:pPr>
            <w:r>
              <w:rPr/>
              <w:t xml:space="preserve">GranoSkin Membrane</w:t>
            </w:r>
          </w:p>
        </w:tc>
        <w:tc>
          <w:tcPr>
            <w:tcW w:w="2000" w:type="dxa"/>
          </w:tcPr>
          <w:p>
            <w:pPr>
              <w:pStyle w:val="Tabletext"/>
            </w:pPr>
            <w:r>
              <w:rPr/>
              <w:t xml:space="preserve">GAU3020.18</w:t>
            </w:r>
          </w:p>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Comtex Fibre Cement Sheet (FCS) with rebated edges</w:t>
            </w:r>
          </w:p>
        </w:tc>
        <w:tc>
          <w:tcPr>
            <w:tcW w:w="2000" w:type="dxa"/>
          </w:tcPr>
          <w:p>
            <w:pPr>
              <w:pStyle w:val="Tabletext"/>
            </w:pPr>
            <w:r>
              <w:rPr/>
              <w:t xml:space="preserve">GranoSkin Membrane</w:t>
            </w:r>
          </w:p>
        </w:tc>
        <w:tc>
          <w:tcPr>
            <w:tcW w:w="2000" w:type="dxa"/>
          </w:tcPr>
          <w:p>
            <w:pPr>
              <w:pStyle w:val="Tabletext"/>
            </w:pPr>
            <w:r>
              <w:rPr/>
              <w:t xml:space="preserve">GAU3020.27</w:t>
            </w:r>
          </w:p>
        </w:tc>
        <w:tc>
          <w:tcPr>
            <w:tcW w:w="2000" w:type="dxa"/>
          </w:tcPr>
          <w:p>
            <w:pPr>
              <w:pStyle w:val="Tabletext"/>
            </w:pPr>
            <w:r>
              <w:rPr/>
              <w:t xml:space="preserve"> </w:t>
            </w:r>
          </w:p>
        </w:tc>
      </w:tr>
    </w:tbl>
    <w:p>
      <w:pPr>
        <w:pStyle w:val="Normal"/>
      </w:pPr>
      <w:r>
        <w:rPr/>
        <w:t xml:space="preserve"> </w:t>
      </w:r>
    </w:p>
    <w:bookmarkEnd w:id="228"/>
    <w:bookmarkEnd w:id="227"/>
    <w:bookmarkStart w:name="f-93178" w:id="230"/>
    <w:bookmarkStart w:name="f-93178-content1" w:id="231"/>
    <w:p>
      <w:pPr>
        <w:pStyle w:val="Heading4"/>
      </w:pPr>
      <w:bookmarkStart w:name="h-93178-content1" w:id="232"/>
      <w:r>
        <w:rPr/>
        <w:t xml:space="preserve">Elastomeric coating: High performance low profile texture matt finish schedule</w:t>
      </w:r>
      <w:bookmarkEnd w:id="232"/>
    </w:p>
    <w:p>
      <w:pPr>
        <w:pStyle w:val="Instructions"/>
      </w:pPr>
      <w:r>
        <w:rPr/>
        <w:t xml:space="preserve">High performance Granosite top coat.</w:t>
      </w:r>
    </w:p>
    <w:p>
      <w:pPr>
        <w:pStyle w:val="Instructions"/>
      </w:pPr>
      <w:r>
        <w:rPr/>
        <w:t xml:space="preserve">Suitable for specialty substrate systems.</w:t>
      </w:r>
    </w:p>
    <w:p>
      <w:pPr>
        <w:pStyle w:val="Instructions"/>
      </w:pPr>
      <w:r>
        <w:rPr/>
        <w:t xml:space="preserve">Excellent flexibility and elasticity.</w:t>
      </w:r>
    </w:p>
    <w:p>
      <w:pPr>
        <w:pStyle w:val="Instructions"/>
      </w:pPr>
      <w:r>
        <w:rPr/>
        <w:t xml:space="preserve">Low profile texture.</w:t>
      </w:r>
    </w:p>
    <w:tbl>
      <w:tblGrid>
        <w:gridCol w:w="2000"/>
        <w:gridCol w:w="2000"/>
        <w:gridCol w:w="2000"/>
        <w:gridCol w:w="2000"/>
        <w:gridCol w:w="2000"/>
      </w:tblGrid>
      <w:tblPr>
        <w:tblStyle w:val="NATSPECTable"/>
        <w:tblW w:w="5000" w:type="pct"/>
        <w:tblLook w:val="05E0" w:firstRow="1" w:lastRow="0" w:firstColumn="0" w:lastColumn="0"/>
      </w:tblPr>
      <w:tr>
        <w:trPr>
          <w:tblHeader/>
        </w:trPr>
        <w:tc>
          <w:tcPr>
            <w:tcW w:w="2000" w:type="dxa"/>
          </w:tcPr>
          <w:p>
            <w:pPr>
              <w:pStyle w:val="Tabletitle"/>
            </w:pPr>
            <w:r>
              <w:rPr/>
              <w:t xml:space="preserve">Coating code</w:t>
            </w:r>
          </w:p>
        </w:tc>
        <w:tc>
          <w:tcPr>
            <w:tcW w:w="2000" w:type="dxa"/>
          </w:tcPr>
          <w:p>
            <w:pPr>
              <w:pStyle w:val="Tabletitle"/>
            </w:pPr>
            <w:r>
              <w:rPr/>
              <w:t xml:space="preserve">Substrate</w:t>
            </w:r>
          </w:p>
        </w:tc>
        <w:tc>
          <w:tcPr>
            <w:tcW w:w="2000" w:type="dxa"/>
          </w:tcPr>
          <w:p>
            <w:pPr>
              <w:pStyle w:val="Tabletitle"/>
            </w:pPr>
            <w:r>
              <w:rPr/>
              <w:t xml:space="preserve">Top coat</w:t>
            </w:r>
          </w:p>
        </w:tc>
        <w:tc>
          <w:tcPr>
            <w:tcW w:w="2000" w:type="dxa"/>
          </w:tcPr>
          <w:p>
            <w:pPr>
              <w:pStyle w:val="Tabletitle"/>
            </w:pPr>
            <w:r>
              <w:rPr/>
              <w:t xml:space="preserve">Coating system</w:t>
            </w:r>
          </w:p>
        </w:tc>
        <w:tc>
          <w:tcPr>
            <w:tcW w:w="2000" w:type="dxa"/>
          </w:tcPr>
          <w:p>
            <w:pPr>
              <w:pStyle w:val="Tabletitle"/>
            </w:pPr>
            <w:r>
              <w:rPr/>
              <w:t xml:space="preserve">Colour reference</w:t>
            </w:r>
          </w:p>
        </w:tc>
      </w:tr>
      <w:tr>
        <w:tc>
          <w:tcPr>
            <w:tcW w:w="2000" w:type="dxa"/>
          </w:tcPr>
          <w:p>
            <w:pPr>
              <w:pStyle w:val="Tabletext"/>
            </w:pPr>
            <w:r>
              <w:rPr/>
              <w:t xml:space="preserve"> </w:t>
            </w:r>
          </w:p>
        </w:tc>
        <w:tc>
          <w:tcPr>
            <w:tcW w:w="2000" w:type="dxa"/>
          </w:tcPr>
          <w:p>
            <w:pPr>
              <w:pStyle w:val="Tabletext"/>
            </w:pPr>
            <w:r>
              <w:rPr/>
              <w:t xml:space="preserve">Brickwork/ Blockwork/ </w:t>
            </w:r>
            <w:r>
              <w:br/>
            </w:r>
            <w:r>
              <w:rPr/>
              <w:t xml:space="preserve">Masonry</w:t>
            </w:r>
          </w:p>
        </w:tc>
        <w:tc>
          <w:tcPr>
            <w:tcW w:w="2000" w:type="dxa"/>
          </w:tcPr>
          <w:p>
            <w:pPr>
              <w:pStyle w:val="Tabletext"/>
            </w:pPr>
            <w:r>
              <w:rPr/>
              <w:t xml:space="preserve">GranoShield Matt</w:t>
            </w:r>
          </w:p>
        </w:tc>
        <w:tc>
          <w:tcPr>
            <w:tcW w:w="2000" w:type="dxa"/>
          </w:tcPr>
          <w:p>
            <w:pPr>
              <w:pStyle w:val="Tabletext"/>
            </w:pPr>
            <w:r>
              <w:rPr/>
              <w:t xml:space="preserve">GAU3030.08</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Cement Render</w:t>
            </w:r>
          </w:p>
        </w:tc>
        <w:tc>
          <w:tcPr>
            <w:tcW w:w="2000" w:type="dxa"/>
          </w:tcPr>
          <w:p>
            <w:pPr>
              <w:pStyle w:val="Tabletext"/>
            </w:pPr>
            <w:r>
              <w:rPr/>
              <w:t xml:space="preserve">GranoShield Matt</w:t>
            </w:r>
          </w:p>
        </w:tc>
        <w:tc>
          <w:tcPr>
            <w:tcW w:w="2000" w:type="dxa"/>
          </w:tcPr>
          <w:p>
            <w:pPr>
              <w:pStyle w:val="Tabletext"/>
            </w:pPr>
            <w:r>
              <w:rPr/>
              <w:t xml:space="preserve">GAU3030.09</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Concrete: In situ/Off–form</w:t>
            </w:r>
          </w:p>
        </w:tc>
        <w:tc>
          <w:tcPr>
            <w:tcW w:w="2000" w:type="dxa"/>
          </w:tcPr>
          <w:p>
            <w:pPr>
              <w:pStyle w:val="Tabletext"/>
            </w:pPr>
            <w:r>
              <w:rPr/>
              <w:t xml:space="preserve">GranoShield Matt</w:t>
            </w:r>
          </w:p>
        </w:tc>
        <w:tc>
          <w:tcPr>
            <w:tcW w:w="2000" w:type="dxa"/>
          </w:tcPr>
          <w:p>
            <w:pPr>
              <w:pStyle w:val="Tabletext"/>
            </w:pPr>
            <w:r>
              <w:rPr/>
              <w:t xml:space="preserve">GAU3030.10</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Concrete: Precast/Tilt-up Panels</w:t>
            </w:r>
          </w:p>
        </w:tc>
        <w:tc>
          <w:tcPr>
            <w:tcW w:w="2000" w:type="dxa"/>
          </w:tcPr>
          <w:p>
            <w:pPr>
              <w:pStyle w:val="Tabletext"/>
            </w:pPr>
            <w:r>
              <w:rPr/>
              <w:t xml:space="preserve">GranoShield Matt</w:t>
            </w:r>
          </w:p>
        </w:tc>
        <w:tc>
          <w:tcPr>
            <w:tcW w:w="2000" w:type="dxa"/>
          </w:tcPr>
          <w:p>
            <w:pPr>
              <w:pStyle w:val="Tabletext"/>
            </w:pPr>
            <w:r>
              <w:rPr/>
              <w:t xml:space="preserve">GAU3030.12</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Autoclaved aerated concrete (AAC)</w:t>
            </w:r>
          </w:p>
        </w:tc>
        <w:tc>
          <w:tcPr>
            <w:tcW w:w="2000" w:type="dxa"/>
          </w:tcPr>
          <w:p>
            <w:pPr>
              <w:pStyle w:val="Tabletext"/>
            </w:pPr>
            <w:r>
              <w:rPr/>
              <w:t xml:space="preserve">GranoShield Matt</w:t>
            </w:r>
          </w:p>
        </w:tc>
        <w:tc>
          <w:tcPr>
            <w:tcW w:w="2000" w:type="dxa"/>
          </w:tcPr>
          <w:p>
            <w:pPr>
              <w:pStyle w:val="Tabletext"/>
            </w:pPr>
            <w:r>
              <w:rPr/>
              <w:t xml:space="preserve">GAU3030.21</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Fibre Cement Sheet (FCS) with rebated edges</w:t>
            </w:r>
          </w:p>
        </w:tc>
        <w:tc>
          <w:tcPr>
            <w:tcW w:w="2000" w:type="dxa"/>
          </w:tcPr>
          <w:p>
            <w:pPr>
              <w:pStyle w:val="Tabletext"/>
            </w:pPr>
            <w:r>
              <w:rPr/>
              <w:t xml:space="preserve">GranoShield Matt</w:t>
            </w:r>
          </w:p>
        </w:tc>
        <w:tc>
          <w:tcPr>
            <w:tcW w:w="2000" w:type="dxa"/>
          </w:tcPr>
          <w:p>
            <w:pPr>
              <w:pStyle w:val="Tabletext"/>
            </w:pPr>
            <w:r>
              <w:rPr/>
              <w:t xml:space="preserve">GAU3030.11</w:t>
            </w:r>
          </w:p>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HardiTex Fibre Cement Sheet (FCS) with rebated edges</w:t>
            </w:r>
          </w:p>
        </w:tc>
        <w:tc>
          <w:tcPr>
            <w:tcW w:w="2000" w:type="dxa"/>
          </w:tcPr>
          <w:p>
            <w:pPr>
              <w:pStyle w:val="Tabletext"/>
            </w:pPr>
            <w:r>
              <w:rPr/>
              <w:t xml:space="preserve">GranoShield Matt</w:t>
            </w:r>
          </w:p>
        </w:tc>
        <w:tc>
          <w:tcPr>
            <w:tcW w:w="2000" w:type="dxa"/>
          </w:tcPr>
          <w:p>
            <w:pPr>
              <w:pStyle w:val="Tabletext"/>
            </w:pPr>
            <w:r>
              <w:rPr/>
              <w:t xml:space="preserve">GAU3030.18</w:t>
            </w:r>
          </w:p>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ComTex Fibre Cement Sheet (FCS) with rebated edges.</w:t>
            </w:r>
          </w:p>
        </w:tc>
        <w:tc>
          <w:tcPr>
            <w:tcW w:w="2000" w:type="dxa"/>
          </w:tcPr>
          <w:p>
            <w:pPr>
              <w:pStyle w:val="Tabletext"/>
            </w:pPr>
            <w:r>
              <w:rPr/>
              <w:t xml:space="preserve">GranoShield Matt</w:t>
            </w:r>
          </w:p>
        </w:tc>
        <w:tc>
          <w:tcPr>
            <w:tcW w:w="2000" w:type="dxa"/>
          </w:tcPr>
          <w:p>
            <w:pPr>
              <w:pStyle w:val="Tabletext"/>
            </w:pPr>
            <w:r>
              <w:rPr/>
              <w:t xml:space="preserve">GAU3030.27</w:t>
            </w:r>
          </w:p>
        </w:tc>
        <w:tc>
          <w:tcPr>
            <w:tcW w:w="2000" w:type="dxa"/>
          </w:tcPr>
          <w:p>
            <w:pPr>
              <w:pStyle w:val="Tabletext"/>
            </w:pPr>
            <w:r>
              <w:rPr/>
              <w:t xml:space="preserve"> </w:t>
            </w:r>
          </w:p>
        </w:tc>
      </w:tr>
    </w:tbl>
    <w:p>
      <w:pPr>
        <w:pStyle w:val="Normal"/>
      </w:pPr>
      <w:r>
        <w:rPr/>
        <w:t xml:space="preserve"> </w:t>
      </w:r>
    </w:p>
    <w:bookmarkEnd w:id="231"/>
    <w:bookmarkEnd w:id="230"/>
    <w:bookmarkStart w:name="f-88141" w:id="233"/>
    <w:bookmarkStart w:name="f-88141-content1" w:id="234"/>
    <w:p>
      <w:pPr>
        <w:pStyle w:val="Heading4"/>
      </w:pPr>
      <w:bookmarkStart w:name="h-88141-content1" w:id="235"/>
      <w:r>
        <w:rPr/>
        <w:t xml:space="preserve">Elastomeric coating: Low profile texture finish schedule</w:t>
      </w:r>
      <w:bookmarkEnd w:id="235"/>
    </w:p>
    <w:p>
      <w:pPr>
        <w:pStyle w:val="Instructions"/>
      </w:pPr>
      <w:r>
        <w:rPr/>
        <w:t xml:space="preserve">Granosite top coat.</w:t>
      </w:r>
    </w:p>
    <w:p>
      <w:pPr>
        <w:pStyle w:val="Instructions"/>
      </w:pPr>
      <w:r>
        <w:rPr/>
        <w:t xml:space="preserve">Good flexibility and elasticity.</w:t>
      </w:r>
    </w:p>
    <w:p>
      <w:pPr>
        <w:pStyle w:val="Instructions"/>
      </w:pPr>
      <w:r>
        <w:rPr/>
        <w:t xml:space="preserve">Good façade water resistance performance.</w:t>
      </w:r>
    </w:p>
    <w:p>
      <w:pPr>
        <w:pStyle w:val="Instructions"/>
      </w:pPr>
      <w:r>
        <w:rPr/>
        <w:t xml:space="preserve">Excellent resistance to dirt, mould and fungi.</w:t>
      </w:r>
    </w:p>
    <w:p>
      <w:pPr>
        <w:pStyle w:val="Instructions"/>
      </w:pPr>
      <w:r>
        <w:rPr/>
        <w:t xml:space="preserve">Anti-carbonation and chloride ion protection.</w:t>
      </w:r>
    </w:p>
    <w:p>
      <w:pPr>
        <w:pStyle w:val="Instructions"/>
      </w:pPr>
      <w:r>
        <w:rPr/>
        <w:t xml:space="preserve">Low profile texture.</w:t>
      </w:r>
    </w:p>
    <w:tbl>
      <w:tblGrid>
        <w:gridCol w:w="2000"/>
        <w:gridCol w:w="2000"/>
        <w:gridCol w:w="2000"/>
        <w:gridCol w:w="2000"/>
        <w:gridCol w:w="2000"/>
      </w:tblGrid>
      <w:tblPr>
        <w:tblStyle w:val="NATSPECTable"/>
        <w:tblW w:w="5000" w:type="pct"/>
        <w:tblLook w:val="05E0" w:firstRow="1" w:lastRow="0" w:firstColumn="0" w:lastColumn="0"/>
      </w:tblPr>
      <w:tr>
        <w:trPr>
          <w:tblHeader/>
        </w:trPr>
        <w:tc>
          <w:tcPr>
            <w:tcW w:w="2000" w:type="dxa"/>
          </w:tcPr>
          <w:p>
            <w:pPr>
              <w:pStyle w:val="Tabletitle"/>
            </w:pPr>
            <w:r>
              <w:rPr/>
              <w:t xml:space="preserve">Coating code</w:t>
            </w:r>
          </w:p>
        </w:tc>
        <w:tc>
          <w:tcPr>
            <w:tcW w:w="2000" w:type="dxa"/>
          </w:tcPr>
          <w:p>
            <w:pPr>
              <w:pStyle w:val="Tabletitle"/>
            </w:pPr>
            <w:r>
              <w:rPr/>
              <w:t xml:space="preserve">Substrate</w:t>
            </w:r>
          </w:p>
        </w:tc>
        <w:tc>
          <w:tcPr>
            <w:tcW w:w="2000" w:type="dxa"/>
          </w:tcPr>
          <w:p>
            <w:pPr>
              <w:pStyle w:val="Tabletitle"/>
            </w:pPr>
            <w:r>
              <w:rPr/>
              <w:t xml:space="preserve">Top coat</w:t>
            </w:r>
          </w:p>
        </w:tc>
        <w:tc>
          <w:tcPr>
            <w:tcW w:w="2000" w:type="dxa"/>
          </w:tcPr>
          <w:p>
            <w:pPr>
              <w:pStyle w:val="Tabletitle"/>
            </w:pPr>
            <w:r>
              <w:rPr/>
              <w:t xml:space="preserve">Coating system</w:t>
            </w:r>
          </w:p>
        </w:tc>
        <w:tc>
          <w:tcPr>
            <w:tcW w:w="2000" w:type="dxa"/>
          </w:tcPr>
          <w:p>
            <w:pPr>
              <w:pStyle w:val="Tabletitle"/>
            </w:pPr>
            <w:r>
              <w:rPr/>
              <w:t xml:space="preserve">Colour reference</w:t>
            </w:r>
          </w:p>
        </w:tc>
      </w:tr>
      <w:tr>
        <w:tc>
          <w:tcPr>
            <w:tcW w:w="2000" w:type="dxa"/>
          </w:tcPr>
          <w:p>
            <w:pPr>
              <w:pStyle w:val="Tabletext"/>
            </w:pPr>
            <w:r>
              <w:rPr/>
              <w:t xml:space="preserve"> </w:t>
            </w:r>
          </w:p>
        </w:tc>
        <w:tc>
          <w:tcPr>
            <w:tcW w:w="2000" w:type="dxa"/>
          </w:tcPr>
          <w:p>
            <w:pPr>
              <w:pStyle w:val="Tabletext"/>
            </w:pPr>
            <w:r>
              <w:rPr/>
              <w:t xml:space="preserve">Brickwork/ Blockwork/ Masonry</w:t>
            </w:r>
          </w:p>
        </w:tc>
        <w:tc>
          <w:tcPr>
            <w:tcW w:w="2000" w:type="dxa"/>
          </w:tcPr>
          <w:p>
            <w:pPr>
              <w:pStyle w:val="Tabletext"/>
            </w:pPr>
            <w:r>
              <w:rPr/>
              <w:t xml:space="preserve">GranoImpact</w:t>
            </w:r>
          </w:p>
        </w:tc>
        <w:tc>
          <w:tcPr>
            <w:tcW w:w="2000" w:type="dxa"/>
          </w:tcPr>
          <w:p>
            <w:pPr>
              <w:pStyle w:val="Tabletext"/>
            </w:pPr>
            <w:r>
              <w:rPr/>
              <w:t xml:space="preserve">GAU3010.08</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Cement Render</w:t>
            </w:r>
          </w:p>
        </w:tc>
        <w:tc>
          <w:tcPr>
            <w:tcW w:w="2000" w:type="dxa"/>
          </w:tcPr>
          <w:p>
            <w:pPr>
              <w:pStyle w:val="Tabletext"/>
            </w:pPr>
            <w:r>
              <w:rPr/>
              <w:t xml:space="preserve">GranoImpact</w:t>
            </w:r>
          </w:p>
        </w:tc>
        <w:tc>
          <w:tcPr>
            <w:tcW w:w="2000" w:type="dxa"/>
          </w:tcPr>
          <w:p>
            <w:pPr>
              <w:pStyle w:val="Tabletext"/>
            </w:pPr>
            <w:r>
              <w:rPr/>
              <w:t xml:space="preserve">GAU3010.09</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Concrete: In situ/Off–form</w:t>
            </w:r>
          </w:p>
        </w:tc>
        <w:tc>
          <w:tcPr>
            <w:tcW w:w="2000" w:type="dxa"/>
          </w:tcPr>
          <w:p>
            <w:pPr>
              <w:pStyle w:val="Tabletext"/>
            </w:pPr>
            <w:r>
              <w:rPr/>
              <w:t xml:space="preserve">GranoImpact</w:t>
            </w:r>
          </w:p>
        </w:tc>
        <w:tc>
          <w:tcPr>
            <w:tcW w:w="2000" w:type="dxa"/>
          </w:tcPr>
          <w:p>
            <w:pPr>
              <w:pStyle w:val="Tabletext"/>
            </w:pPr>
            <w:r>
              <w:rPr/>
              <w:t xml:space="preserve">GAU3010.10</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Concrete: Precast/Tilt-up Panels</w:t>
            </w:r>
          </w:p>
        </w:tc>
        <w:tc>
          <w:tcPr>
            <w:tcW w:w="2000" w:type="dxa"/>
          </w:tcPr>
          <w:p>
            <w:pPr>
              <w:pStyle w:val="Tabletext"/>
            </w:pPr>
            <w:r>
              <w:rPr/>
              <w:t xml:space="preserve">GranoImpact</w:t>
            </w:r>
          </w:p>
        </w:tc>
        <w:tc>
          <w:tcPr>
            <w:tcW w:w="2000" w:type="dxa"/>
          </w:tcPr>
          <w:p>
            <w:pPr>
              <w:pStyle w:val="Tabletext"/>
            </w:pPr>
            <w:r>
              <w:rPr/>
              <w:t xml:space="preserve">GAU3010.12</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Compressed fibre cement sheeting (CFC)</w:t>
            </w:r>
          </w:p>
          <w:p>
            <w:pPr>
              <w:pStyle w:val="Tabletext"/>
            </w:pPr>
            <w:r>
              <w:rPr/>
              <w:t xml:space="preserve">Exotec</w:t>
            </w:r>
          </w:p>
        </w:tc>
        <w:tc>
          <w:tcPr>
            <w:tcW w:w="2000" w:type="dxa"/>
          </w:tcPr>
          <w:p>
            <w:pPr>
              <w:pStyle w:val="Tabletext"/>
            </w:pPr>
            <w:r>
              <w:rPr/>
              <w:t xml:space="preserve">GranoImpact</w:t>
            </w:r>
          </w:p>
        </w:tc>
        <w:tc>
          <w:tcPr>
            <w:tcW w:w="2000" w:type="dxa"/>
          </w:tcPr>
          <w:p>
            <w:pPr>
              <w:pStyle w:val="Tabletext"/>
            </w:pPr>
            <w:r>
              <w:rPr/>
              <w:t xml:space="preserve">GAU3010.22</w:t>
            </w:r>
          </w:p>
          <w:p>
            <w:pPr>
              <w:pStyle w:val="Tabletext"/>
            </w:pPr>
            <w:r>
              <w:rPr/>
              <w:t xml:space="preserve"> </w:t>
            </w:r>
          </w:p>
          <w:p>
            <w:pPr>
              <w:pStyle w:val="Tabletext"/>
            </w:pPr>
            <w:r>
              <w:rPr/>
              <w:t xml:space="preserve"> </w:t>
            </w:r>
          </w:p>
          <w:p>
            <w:pPr>
              <w:pStyle w:val="Tabletext"/>
            </w:pPr>
            <w:r>
              <w:rPr/>
              <w:t xml:space="preserve">GAU3010.25</w:t>
            </w:r>
          </w:p>
        </w:tc>
        <w:tc>
          <w:tcPr>
            <w:tcW w:w="2000" w:type="dxa"/>
          </w:tcPr>
          <w:p>
            <w:pPr>
              <w:pStyle w:val="Tabletext"/>
            </w:pPr>
            <w:r>
              <w:rPr/>
              <w:t xml:space="preserve"> </w:t>
            </w:r>
          </w:p>
        </w:tc>
      </w:tr>
    </w:tbl>
    <w:p>
      <w:pPr>
        <w:pStyle w:val="Normal"/>
      </w:pPr>
      <w:r>
        <w:rPr/>
        <w:t xml:space="preserve"> </w:t>
      </w:r>
    </w:p>
    <w:bookmarkEnd w:id="234"/>
    <w:bookmarkEnd w:id="233"/>
    <w:bookmarkStart w:name="f-84912" w:id="236"/>
    <w:bookmarkStart w:name="f-84912-content1" w:id="237"/>
    <w:p>
      <w:pPr>
        <w:pStyle w:val="Heading4"/>
      </w:pPr>
      <w:bookmarkStart w:name="h-84912-content1" w:id="238"/>
      <w:r>
        <w:rPr/>
        <w:t xml:space="preserve">Roll-on texture: High profile, smooth to coarse texture finishes schedule</w:t>
      </w:r>
      <w:bookmarkEnd w:id="238"/>
    </w:p>
    <w:p>
      <w:pPr>
        <w:pStyle w:val="Instructions"/>
      </w:pPr>
      <w:r>
        <w:rPr/>
        <w:t xml:space="preserve">General purpose roller applied texture coating systems.</w:t>
      </w:r>
    </w:p>
    <w:p>
      <w:pPr>
        <w:pStyle w:val="Instructions"/>
      </w:pPr>
      <w:r>
        <w:rPr/>
        <w:t xml:space="preserve">Applied with texture roller sleeves.</w:t>
      </w:r>
    </w:p>
    <w:p>
      <w:pPr>
        <w:pStyle w:val="Instructions"/>
      </w:pPr>
      <w:r>
        <w:rPr/>
        <w:t xml:space="preserve">Smooth finishes (no aggregate):</w:t>
      </w:r>
    </w:p>
    <w:p>
      <w:pPr>
        <w:pStyle w:val="Instructionsindent"/>
      </w:pPr>
      <w:r>
        <w:rPr/>
        <w:t xml:space="preserve">GranoImpact High Profile.</w:t>
      </w:r>
    </w:p>
    <w:p>
      <w:pPr>
        <w:pStyle w:val="Instructionsindent"/>
      </w:pPr>
      <w:r>
        <w:rPr/>
        <w:t xml:space="preserve">GranoRoll-on Smooth.</w:t>
      </w:r>
    </w:p>
    <w:p>
      <w:pPr>
        <w:pStyle w:val="Instructions"/>
      </w:pPr>
      <w:r>
        <w:rPr/>
        <w:t xml:space="preserve">Aggregate finishes (fine, medium and coarse):</w:t>
      </w:r>
    </w:p>
    <w:p>
      <w:pPr>
        <w:pStyle w:val="Instructionsindent"/>
      </w:pPr>
      <w:r>
        <w:rPr/>
        <w:t xml:space="preserve">GranoSahara Ripple.</w:t>
      </w:r>
    </w:p>
    <w:p>
      <w:pPr>
        <w:pStyle w:val="Instructionsindent"/>
      </w:pPr>
      <w:r>
        <w:rPr/>
        <w:t xml:space="preserve">GranoRoll-on Medium.</w:t>
      </w:r>
    </w:p>
    <w:p>
      <w:pPr>
        <w:pStyle w:val="Instructionsindent"/>
      </w:pPr>
      <w:r>
        <w:rPr/>
        <w:t xml:space="preserve">GranoRoll-on Coarse.</w:t>
      </w:r>
    </w:p>
    <w:p>
      <w:pPr>
        <w:pStyle w:val="Instructions"/>
      </w:pPr>
      <w:r>
        <w:rPr/>
        <w:t xml:space="preserve">Low VOC for interior applications:</w:t>
      </w:r>
    </w:p>
    <w:p>
      <w:pPr>
        <w:pStyle w:val="Instructionsindent"/>
      </w:pPr>
      <w:r>
        <w:rPr/>
        <w:t xml:space="preserve">GranoRoll-on Smooth.</w:t>
      </w:r>
    </w:p>
    <w:p>
      <w:pPr>
        <w:pStyle w:val="Instructionsindent"/>
      </w:pPr>
      <w:r>
        <w:rPr/>
        <w:t xml:space="preserve">GranoRoll-on Medium.</w:t>
      </w:r>
    </w:p>
    <w:p>
      <w:pPr>
        <w:pStyle w:val="Instructionsindent"/>
      </w:pPr>
      <w:r>
        <w:rPr/>
        <w:t xml:space="preserve">GranoRoll-on Coarse.</w:t>
      </w:r>
    </w:p>
    <w:p>
      <w:pPr>
        <w:pStyle w:val="Instructions"/>
      </w:pPr>
      <w:r>
        <w:rPr/>
        <w:t xml:space="preserve">Elastomeric top coat with excellent resistance to dirt, mould and fungi.</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t xml:space="preserve">Coating code</w:t>
            </w:r>
          </w:p>
        </w:tc>
        <w:tc>
          <w:tcPr>
            <w:tcW w:w="1667" w:type="dxa"/>
          </w:tcPr>
          <w:p>
            <w:pPr>
              <w:pStyle w:val="Tabletitle"/>
            </w:pPr>
            <w:r>
              <w:rPr/>
              <w:t xml:space="preserve">Substrate</w:t>
            </w:r>
          </w:p>
        </w:tc>
        <w:tc>
          <w:tcPr>
            <w:tcW w:w="1667" w:type="dxa"/>
          </w:tcPr>
          <w:p>
            <w:pPr>
              <w:pStyle w:val="Tabletitle"/>
            </w:pPr>
            <w:r>
              <w:rPr/>
              <w:t xml:space="preserve">Intermediate coat</w:t>
            </w:r>
          </w:p>
        </w:tc>
        <w:tc>
          <w:tcPr>
            <w:tcW w:w="1667" w:type="dxa"/>
          </w:tcPr>
          <w:p>
            <w:pPr>
              <w:pStyle w:val="Tabletitle"/>
            </w:pPr>
            <w:r>
              <w:rPr/>
              <w:t xml:space="preserve">Top coat</w:t>
            </w:r>
          </w:p>
        </w:tc>
        <w:tc>
          <w:tcPr>
            <w:tcW w:w="1667" w:type="dxa"/>
          </w:tcPr>
          <w:p>
            <w:pPr>
              <w:pStyle w:val="Tabletitle"/>
            </w:pPr>
            <w:r>
              <w:rPr/>
              <w:t xml:space="preserve">Coating system</w:t>
            </w:r>
          </w:p>
        </w:tc>
        <w:tc>
          <w:tcPr>
            <w:tcW w:w="1667" w:type="dxa"/>
          </w:tcPr>
          <w:p>
            <w:pPr>
              <w:pStyle w:val="Tabletitle"/>
            </w:pPr>
            <w:r>
              <w:rPr/>
              <w:t xml:space="preserve">Colour reference</w:t>
            </w:r>
          </w:p>
        </w:tc>
      </w:tr>
      <w:tr>
        <w:tc>
          <w:tcPr>
            <w:tcW w:w="1667" w:type="dxa"/>
          </w:tcPr>
          <w:p>
            <w:pPr>
              <w:pStyle w:val="Tabletext"/>
            </w:pPr>
            <w:r>
              <w:rPr/>
              <w:t xml:space="preserve"> </w:t>
            </w:r>
          </w:p>
        </w:tc>
        <w:tc>
          <w:tcPr>
            <w:tcW w:w="1667" w:type="dxa"/>
          </w:tcPr>
          <w:p>
            <w:pPr>
              <w:pStyle w:val="Tabletext"/>
            </w:pPr>
            <w:r>
              <w:rPr/>
              <w:t xml:space="preserve">Brickwork/ Blockwork/ Masonry</w:t>
            </w:r>
          </w:p>
        </w:tc>
        <w:tc>
          <w:tcPr>
            <w:tcW w:w="1667" w:type="dxa"/>
          </w:tcPr>
          <w:p>
            <w:pPr>
              <w:pStyle w:val="Tabletext"/>
            </w:pPr>
            <w:r>
              <w:rPr/>
              <w:t xml:space="preserve">GranoSahara Ripple</w:t>
            </w:r>
          </w:p>
        </w:tc>
        <w:tc>
          <w:tcPr>
            <w:tcW w:w="1667" w:type="dxa"/>
          </w:tcPr>
          <w:p>
            <w:pPr>
              <w:pStyle w:val="Tabletext"/>
            </w:pPr>
            <w:r>
              <w:rPr/>
              <w:t xml:space="preserve">GranoImpact</w:t>
            </w:r>
          </w:p>
        </w:tc>
        <w:tc>
          <w:tcPr>
            <w:tcW w:w="1667" w:type="dxa"/>
          </w:tcPr>
          <w:p>
            <w:pPr>
              <w:pStyle w:val="Tabletext"/>
            </w:pPr>
            <w:r>
              <w:rPr/>
              <w:t xml:space="preserve">GAU3115.08</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Cement Render</w:t>
            </w:r>
          </w:p>
        </w:tc>
        <w:tc>
          <w:tcPr>
            <w:tcW w:w="1667" w:type="dxa"/>
          </w:tcPr>
          <w:p>
            <w:pPr>
              <w:pStyle w:val="Tabletext"/>
            </w:pPr>
            <w:r>
              <w:rPr/>
              <w:t xml:space="preserve">GranoSahara Ripple</w:t>
            </w:r>
          </w:p>
        </w:tc>
        <w:tc>
          <w:tcPr>
            <w:tcW w:w="1667" w:type="dxa"/>
          </w:tcPr>
          <w:p>
            <w:pPr>
              <w:pStyle w:val="Tabletext"/>
            </w:pPr>
            <w:r>
              <w:rPr/>
              <w:t xml:space="preserve">GranoImpact</w:t>
            </w:r>
          </w:p>
        </w:tc>
        <w:tc>
          <w:tcPr>
            <w:tcW w:w="1667" w:type="dxa"/>
          </w:tcPr>
          <w:p>
            <w:pPr>
              <w:pStyle w:val="Tabletext"/>
            </w:pPr>
            <w:r>
              <w:rPr/>
              <w:t xml:space="preserve">GAU3115.09</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Concrete: In situ/Off–form</w:t>
            </w:r>
          </w:p>
        </w:tc>
        <w:tc>
          <w:tcPr>
            <w:tcW w:w="1667" w:type="dxa"/>
          </w:tcPr>
          <w:p>
            <w:pPr>
              <w:pStyle w:val="Tabletext"/>
            </w:pPr>
            <w:r>
              <w:rPr/>
              <w:t xml:space="preserve">GranoImpact High Profile</w:t>
            </w:r>
          </w:p>
        </w:tc>
        <w:tc>
          <w:tcPr>
            <w:tcW w:w="1667" w:type="dxa"/>
          </w:tcPr>
          <w:p>
            <w:pPr>
              <w:pStyle w:val="Tabletext"/>
            </w:pPr>
            <w:r>
              <w:rPr/>
              <w:t xml:space="preserve">GranoImpact</w:t>
            </w:r>
          </w:p>
        </w:tc>
        <w:tc>
          <w:tcPr>
            <w:tcW w:w="1667" w:type="dxa"/>
          </w:tcPr>
          <w:p>
            <w:pPr>
              <w:pStyle w:val="Tabletext"/>
            </w:pPr>
            <w:r>
              <w:rPr/>
              <w:t xml:space="preserve">GAU3015.10</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Concrete: In situ/Off –form</w:t>
            </w:r>
          </w:p>
        </w:tc>
        <w:tc>
          <w:tcPr>
            <w:tcW w:w="1667" w:type="dxa"/>
          </w:tcPr>
          <w:p>
            <w:pPr>
              <w:pStyle w:val="Tabletext"/>
            </w:pPr>
            <w:r>
              <w:rPr/>
              <w:t xml:space="preserve">GranoSahara Ripple</w:t>
            </w:r>
          </w:p>
        </w:tc>
        <w:tc>
          <w:tcPr>
            <w:tcW w:w="1667" w:type="dxa"/>
          </w:tcPr>
          <w:p>
            <w:pPr>
              <w:pStyle w:val="Tabletext"/>
            </w:pPr>
            <w:r>
              <w:rPr/>
              <w:t xml:space="preserve">GranoImpact</w:t>
            </w:r>
          </w:p>
        </w:tc>
        <w:tc>
          <w:tcPr>
            <w:tcW w:w="1667" w:type="dxa"/>
          </w:tcPr>
          <w:p>
            <w:pPr>
              <w:pStyle w:val="Tabletext"/>
            </w:pPr>
            <w:r>
              <w:rPr/>
              <w:t xml:space="preserve">GAU3115.10</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Concrete: In situ/Off –form</w:t>
            </w:r>
          </w:p>
        </w:tc>
        <w:tc>
          <w:tcPr>
            <w:tcW w:w="1667" w:type="dxa"/>
          </w:tcPr>
          <w:p>
            <w:pPr>
              <w:pStyle w:val="Tabletext"/>
            </w:pPr>
            <w:r>
              <w:rPr/>
              <w:t xml:space="preserve">GranoSoffit Texture</w:t>
            </w:r>
          </w:p>
        </w:tc>
        <w:tc>
          <w:tcPr>
            <w:tcW w:w="1667" w:type="dxa"/>
          </w:tcPr>
          <w:p>
            <w:pPr>
              <w:pStyle w:val="Tabletext"/>
            </w:pPr>
            <w:r>
              <w:rPr/>
              <w:t xml:space="preserve"> </w:t>
            </w:r>
          </w:p>
        </w:tc>
        <w:tc>
          <w:tcPr>
            <w:tcW w:w="1667" w:type="dxa"/>
          </w:tcPr>
          <w:p>
            <w:pPr>
              <w:pStyle w:val="Tabletext"/>
            </w:pPr>
            <w:r>
              <w:rPr/>
              <w:t xml:space="preserve">GAU3050.10</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Concrete: In situ/Off –form</w:t>
            </w:r>
          </w:p>
        </w:tc>
        <w:tc>
          <w:tcPr>
            <w:tcW w:w="1667" w:type="dxa"/>
          </w:tcPr>
          <w:p>
            <w:pPr>
              <w:pStyle w:val="Tabletext"/>
            </w:pPr>
            <w:r>
              <w:rPr/>
              <w:t xml:space="preserve">GranoRoll-on Smooth</w:t>
            </w:r>
          </w:p>
        </w:tc>
        <w:tc>
          <w:tcPr>
            <w:tcW w:w="1667" w:type="dxa"/>
          </w:tcPr>
          <w:p>
            <w:pPr>
              <w:pStyle w:val="Tabletext"/>
            </w:pPr>
            <w:r>
              <w:rPr/>
              <w:t xml:space="preserve">GranoImpact</w:t>
            </w:r>
          </w:p>
        </w:tc>
        <w:tc>
          <w:tcPr>
            <w:tcW w:w="1667" w:type="dxa"/>
          </w:tcPr>
          <w:p>
            <w:pPr>
              <w:pStyle w:val="Tabletext"/>
            </w:pPr>
            <w:r>
              <w:rPr/>
              <w:t xml:space="preserve">GAU3141.10</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Concrete: In situ/Off –form</w:t>
            </w:r>
          </w:p>
        </w:tc>
        <w:tc>
          <w:tcPr>
            <w:tcW w:w="1667" w:type="dxa"/>
          </w:tcPr>
          <w:p>
            <w:pPr>
              <w:pStyle w:val="Tabletext"/>
            </w:pPr>
            <w:r>
              <w:rPr/>
              <w:t xml:space="preserve">GranoRoll-on Medium</w:t>
            </w:r>
          </w:p>
        </w:tc>
        <w:tc>
          <w:tcPr>
            <w:tcW w:w="1667" w:type="dxa"/>
          </w:tcPr>
          <w:p>
            <w:pPr>
              <w:pStyle w:val="Tabletext"/>
            </w:pPr>
            <w:r>
              <w:rPr/>
              <w:t xml:space="preserve">GranoImpact</w:t>
            </w:r>
          </w:p>
        </w:tc>
        <w:tc>
          <w:tcPr>
            <w:tcW w:w="1667" w:type="dxa"/>
          </w:tcPr>
          <w:p>
            <w:pPr>
              <w:pStyle w:val="Tabletext"/>
            </w:pPr>
            <w:r>
              <w:rPr/>
              <w:t xml:space="preserve">GAU3151.10</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Concrete: In situ/Off –form</w:t>
            </w:r>
          </w:p>
        </w:tc>
        <w:tc>
          <w:tcPr>
            <w:tcW w:w="1667" w:type="dxa"/>
          </w:tcPr>
          <w:p>
            <w:pPr>
              <w:pStyle w:val="Tabletext"/>
            </w:pPr>
            <w:r>
              <w:rPr/>
              <w:t xml:space="preserve">GranoRoll-on Coarse</w:t>
            </w:r>
          </w:p>
        </w:tc>
        <w:tc>
          <w:tcPr>
            <w:tcW w:w="1667" w:type="dxa"/>
          </w:tcPr>
          <w:p>
            <w:pPr>
              <w:pStyle w:val="Tabletext"/>
            </w:pPr>
            <w:r>
              <w:rPr/>
              <w:t xml:space="preserve">GranoImpact</w:t>
            </w:r>
          </w:p>
        </w:tc>
        <w:tc>
          <w:tcPr>
            <w:tcW w:w="1667" w:type="dxa"/>
          </w:tcPr>
          <w:p>
            <w:pPr>
              <w:pStyle w:val="Tabletext"/>
            </w:pPr>
            <w:r>
              <w:rPr/>
              <w:t xml:space="preserve">GAU3161.10</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Concrete: Precast/Tilt-up Panels</w:t>
            </w:r>
          </w:p>
        </w:tc>
        <w:tc>
          <w:tcPr>
            <w:tcW w:w="1667" w:type="dxa"/>
          </w:tcPr>
          <w:p>
            <w:pPr>
              <w:pStyle w:val="Tabletext"/>
            </w:pPr>
            <w:r>
              <w:rPr/>
              <w:t xml:space="preserve">GranoImpact High Profile</w:t>
            </w:r>
          </w:p>
        </w:tc>
        <w:tc>
          <w:tcPr>
            <w:tcW w:w="1667" w:type="dxa"/>
          </w:tcPr>
          <w:p>
            <w:pPr>
              <w:pStyle w:val="Tabletext"/>
            </w:pPr>
            <w:r>
              <w:rPr/>
              <w:t xml:space="preserve">GranoImpact</w:t>
            </w:r>
          </w:p>
        </w:tc>
        <w:tc>
          <w:tcPr>
            <w:tcW w:w="1667" w:type="dxa"/>
          </w:tcPr>
          <w:p>
            <w:pPr>
              <w:pStyle w:val="Tabletext"/>
            </w:pPr>
            <w:r>
              <w:rPr/>
              <w:t xml:space="preserve">GAU3015.12</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Concrete: Precast/Tilt-up Panels</w:t>
            </w:r>
          </w:p>
        </w:tc>
        <w:tc>
          <w:tcPr>
            <w:tcW w:w="1667" w:type="dxa"/>
          </w:tcPr>
          <w:p>
            <w:pPr>
              <w:pStyle w:val="Tabletext"/>
            </w:pPr>
            <w:r>
              <w:rPr/>
              <w:t xml:space="preserve">GranoSahara Ripple</w:t>
            </w:r>
          </w:p>
        </w:tc>
        <w:tc>
          <w:tcPr>
            <w:tcW w:w="1667" w:type="dxa"/>
          </w:tcPr>
          <w:p>
            <w:pPr>
              <w:pStyle w:val="Tabletext"/>
            </w:pPr>
            <w:r>
              <w:rPr/>
              <w:t xml:space="preserve">GranoImpact</w:t>
            </w:r>
          </w:p>
        </w:tc>
        <w:tc>
          <w:tcPr>
            <w:tcW w:w="1667" w:type="dxa"/>
          </w:tcPr>
          <w:p>
            <w:pPr>
              <w:pStyle w:val="Tabletext"/>
            </w:pPr>
            <w:r>
              <w:rPr/>
              <w:t xml:space="preserve">GAU3115.12</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Concrete: Precast/Tilt-up Panels</w:t>
            </w:r>
          </w:p>
        </w:tc>
        <w:tc>
          <w:tcPr>
            <w:tcW w:w="1667" w:type="dxa"/>
          </w:tcPr>
          <w:p>
            <w:pPr>
              <w:pStyle w:val="Tabletext"/>
            </w:pPr>
            <w:r>
              <w:rPr/>
              <w:t xml:space="preserve">GranoRoll-on Smooth</w:t>
            </w:r>
          </w:p>
        </w:tc>
        <w:tc>
          <w:tcPr>
            <w:tcW w:w="1667" w:type="dxa"/>
          </w:tcPr>
          <w:p>
            <w:pPr>
              <w:pStyle w:val="Tabletext"/>
            </w:pPr>
            <w:r>
              <w:rPr/>
              <w:t xml:space="preserve">GranoImpact</w:t>
            </w:r>
          </w:p>
        </w:tc>
        <w:tc>
          <w:tcPr>
            <w:tcW w:w="1667" w:type="dxa"/>
          </w:tcPr>
          <w:p>
            <w:pPr>
              <w:pStyle w:val="Tabletext"/>
            </w:pPr>
            <w:r>
              <w:rPr/>
              <w:t xml:space="preserve">GAU3141.12</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Concrete: Precast/Tilt-up Panels</w:t>
            </w:r>
          </w:p>
        </w:tc>
        <w:tc>
          <w:tcPr>
            <w:tcW w:w="1667" w:type="dxa"/>
          </w:tcPr>
          <w:p>
            <w:pPr>
              <w:pStyle w:val="Tabletext"/>
            </w:pPr>
            <w:r>
              <w:rPr/>
              <w:t xml:space="preserve">GranoRoll-on Medium</w:t>
            </w:r>
          </w:p>
        </w:tc>
        <w:tc>
          <w:tcPr>
            <w:tcW w:w="1667" w:type="dxa"/>
          </w:tcPr>
          <w:p>
            <w:pPr>
              <w:pStyle w:val="Tabletext"/>
            </w:pPr>
            <w:r>
              <w:rPr/>
              <w:t xml:space="preserve">GranoImpact</w:t>
            </w:r>
          </w:p>
        </w:tc>
        <w:tc>
          <w:tcPr>
            <w:tcW w:w="1667" w:type="dxa"/>
          </w:tcPr>
          <w:p>
            <w:pPr>
              <w:pStyle w:val="Tabletext"/>
            </w:pPr>
            <w:r>
              <w:rPr/>
              <w:t xml:space="preserve">GAU3151.12</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Concrete: Precast/Tilt-up Panels</w:t>
            </w:r>
          </w:p>
        </w:tc>
        <w:tc>
          <w:tcPr>
            <w:tcW w:w="1667" w:type="dxa"/>
          </w:tcPr>
          <w:p>
            <w:pPr>
              <w:pStyle w:val="Tabletext"/>
            </w:pPr>
            <w:r>
              <w:rPr/>
              <w:t xml:space="preserve">GranoRoll-on Coarse</w:t>
            </w:r>
          </w:p>
        </w:tc>
        <w:tc>
          <w:tcPr>
            <w:tcW w:w="1667" w:type="dxa"/>
          </w:tcPr>
          <w:p>
            <w:pPr>
              <w:pStyle w:val="Tabletext"/>
            </w:pPr>
            <w:r>
              <w:rPr/>
              <w:t xml:space="preserve">GranoImpact</w:t>
            </w:r>
          </w:p>
        </w:tc>
        <w:tc>
          <w:tcPr>
            <w:tcW w:w="1667" w:type="dxa"/>
          </w:tcPr>
          <w:p>
            <w:pPr>
              <w:pStyle w:val="Tabletext"/>
            </w:pPr>
            <w:r>
              <w:rPr/>
              <w:t xml:space="preserve">GAU3161.12</w:t>
            </w:r>
          </w:p>
        </w:tc>
        <w:tc>
          <w:tcPr>
            <w:tcW w:w="1667" w:type="dxa"/>
          </w:tcPr>
          <w:p>
            <w:pPr>
              <w:pStyle w:val="Tabletext"/>
            </w:pPr>
            <w:r>
              <w:rPr/>
              <w:t xml:space="preserve"> </w:t>
            </w:r>
          </w:p>
        </w:tc>
      </w:tr>
    </w:tbl>
    <w:p>
      <w:pPr>
        <w:pStyle w:val="Normal"/>
      </w:pPr>
      <w:r>
        <w:rPr/>
        <w:t xml:space="preserve"> </w:t>
      </w:r>
    </w:p>
    <w:bookmarkEnd w:id="237"/>
    <w:bookmarkEnd w:id="236"/>
    <w:bookmarkStart w:name="f-72383" w:id="239"/>
    <w:bookmarkStart w:name="f-72383-content1" w:id="240"/>
    <w:p>
      <w:pPr>
        <w:pStyle w:val="Heading4"/>
      </w:pPr>
      <w:bookmarkStart w:name="h-72383-content1" w:id="241"/>
      <w:r>
        <w:rPr/>
        <w:t xml:space="preserve">Trowel-on texture: Grainy aggregate high performance texture finish schedule</w:t>
      </w:r>
      <w:bookmarkEnd w:id="241"/>
    </w:p>
    <w:p>
      <w:pPr>
        <w:pStyle w:val="Instructions"/>
      </w:pPr>
      <w:r>
        <w:rPr/>
        <w:t xml:space="preserve">Grainy trowel applied texture.</w:t>
      </w:r>
    </w:p>
    <w:p>
      <w:pPr>
        <w:pStyle w:val="Instructions"/>
      </w:pPr>
      <w:r>
        <w:rPr/>
        <w:t xml:space="preserve">Winter grade available: GranoMarble Fast.</w:t>
      </w:r>
    </w:p>
    <w:p>
      <w:pPr>
        <w:pStyle w:val="Instructions"/>
      </w:pPr>
      <w:r>
        <w:rPr/>
        <w:t xml:space="preserve">High performance Granosite top coat.</w:t>
      </w:r>
    </w:p>
    <w:p>
      <w:pPr>
        <w:pStyle w:val="Instructions"/>
      </w:pPr>
      <w:r>
        <w:rPr/>
        <w:t xml:space="preserve">Good flexibility, elasticity and façade waterproofing performance.</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b/>
              </w:rPr>
              <w:t xml:space="preserve">Coating code</w:t>
            </w:r>
          </w:p>
        </w:tc>
        <w:tc>
          <w:tcPr>
            <w:tcW w:w="1667" w:type="dxa"/>
          </w:tcPr>
          <w:p>
            <w:pPr>
              <w:pStyle w:val="Tabletitle"/>
            </w:pPr>
            <w:r>
              <w:rPr>
                <w:b/>
              </w:rPr>
              <w:t xml:space="preserve">Substrate</w:t>
            </w:r>
          </w:p>
        </w:tc>
        <w:tc>
          <w:tcPr>
            <w:tcW w:w="1667" w:type="dxa"/>
          </w:tcPr>
          <w:p>
            <w:pPr>
              <w:pStyle w:val="Tabletitle"/>
            </w:pPr>
            <w:r>
              <w:rPr>
                <w:b/>
              </w:rPr>
              <w:t xml:space="preserve">Intermediate coat</w:t>
            </w:r>
          </w:p>
        </w:tc>
        <w:tc>
          <w:tcPr>
            <w:tcW w:w="1667" w:type="dxa"/>
          </w:tcPr>
          <w:p>
            <w:pPr>
              <w:pStyle w:val="Tabletitle"/>
            </w:pPr>
            <w:r>
              <w:rPr>
                <w:b/>
              </w:rPr>
              <w:t xml:space="preserve">Top coat</w:t>
            </w:r>
          </w:p>
        </w:tc>
        <w:tc>
          <w:tcPr>
            <w:tcW w:w="1667" w:type="dxa"/>
          </w:tcPr>
          <w:p>
            <w:pPr>
              <w:pStyle w:val="Tabletitle"/>
            </w:pPr>
            <w:r>
              <w:rPr>
                <w:b/>
              </w:rPr>
              <w:t xml:space="preserve">Coating system</w:t>
            </w:r>
          </w:p>
        </w:tc>
        <w:tc>
          <w:tcPr>
            <w:tcW w:w="1667" w:type="dxa"/>
          </w:tcPr>
          <w:p>
            <w:pPr>
              <w:pStyle w:val="Tabletitle"/>
            </w:pPr>
            <w:r>
              <w:rPr>
                <w:b/>
              </w:rPr>
              <w:t xml:space="preserve">Colour reference</w:t>
            </w:r>
          </w:p>
        </w:tc>
      </w:tr>
      <w:tr>
        <w:tc>
          <w:tcPr>
            <w:tcW w:w="1667" w:type="dxa"/>
          </w:tcPr>
          <w:p>
            <w:pPr>
              <w:pStyle w:val="Tabletext"/>
            </w:pPr>
            <w:r>
              <w:rPr/>
              <w:t xml:space="preserve"> </w:t>
            </w:r>
          </w:p>
        </w:tc>
        <w:tc>
          <w:tcPr>
            <w:tcW w:w="1667" w:type="dxa"/>
          </w:tcPr>
          <w:p>
            <w:pPr>
              <w:pStyle w:val="Tabletext"/>
            </w:pPr>
            <w:r>
              <w:rPr/>
              <w:t xml:space="preserve">Brickwork/ Blockwork/ Masonry</w:t>
            </w:r>
          </w:p>
        </w:tc>
        <w:tc>
          <w:tcPr>
            <w:tcW w:w="1667" w:type="dxa"/>
          </w:tcPr>
          <w:p>
            <w:pPr>
              <w:pStyle w:val="Tabletext"/>
            </w:pPr>
            <w:r>
              <w:rPr/>
              <w:t xml:space="preserve">GranoMarble</w:t>
            </w:r>
          </w:p>
          <w:p>
            <w:pPr>
              <w:pStyle w:val="Tabletext"/>
            </w:pPr>
            <w:r>
              <w:rPr/>
              <w:t xml:space="preserve">or</w:t>
            </w:r>
          </w:p>
          <w:p>
            <w:pPr>
              <w:pStyle w:val="Tabletext"/>
            </w:pPr>
            <w:r>
              <w:rPr/>
              <w:t xml:space="preserve">GranoMarble Fast</w:t>
            </w:r>
          </w:p>
        </w:tc>
        <w:tc>
          <w:tcPr>
            <w:tcW w:w="1667" w:type="dxa"/>
          </w:tcPr>
          <w:p>
            <w:pPr>
              <w:pStyle w:val="Tabletext"/>
            </w:pPr>
            <w:r>
              <w:rPr/>
              <w:t xml:space="preserve">GranoShield Matt</w:t>
            </w:r>
          </w:p>
        </w:tc>
        <w:tc>
          <w:tcPr>
            <w:tcW w:w="1667" w:type="dxa"/>
          </w:tcPr>
          <w:p>
            <w:pPr>
              <w:pStyle w:val="Tabletext"/>
            </w:pPr>
            <w:r>
              <w:rPr/>
              <w:t xml:space="preserve">GAU3413.08</w:t>
            </w:r>
          </w:p>
          <w:p>
            <w:pPr>
              <w:pStyle w:val="Tabletext"/>
            </w:pPr>
            <w:r>
              <w:rPr/>
              <w:t xml:space="preserve">or</w:t>
            </w:r>
          </w:p>
          <w:p>
            <w:pPr>
              <w:pStyle w:val="Tabletext"/>
            </w:pPr>
            <w:r>
              <w:rPr/>
              <w:t xml:space="preserve">GAU3423.08</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Cement Render</w:t>
            </w:r>
          </w:p>
        </w:tc>
        <w:tc>
          <w:tcPr>
            <w:tcW w:w="1667" w:type="dxa"/>
          </w:tcPr>
          <w:p>
            <w:pPr>
              <w:pStyle w:val="Tabletext"/>
            </w:pPr>
            <w:r>
              <w:rPr/>
              <w:t xml:space="preserve">GranoMarble</w:t>
            </w:r>
          </w:p>
          <w:p>
            <w:pPr>
              <w:pStyle w:val="Tabletext"/>
            </w:pPr>
            <w:r>
              <w:rPr/>
              <w:t xml:space="preserve">or</w:t>
            </w:r>
          </w:p>
          <w:p>
            <w:pPr>
              <w:pStyle w:val="Tabletext"/>
            </w:pPr>
            <w:r>
              <w:rPr/>
              <w:t xml:space="preserve">GranoMarble Fast</w:t>
            </w:r>
          </w:p>
        </w:tc>
        <w:tc>
          <w:tcPr>
            <w:tcW w:w="1667" w:type="dxa"/>
          </w:tcPr>
          <w:p>
            <w:pPr>
              <w:pStyle w:val="Tabletext"/>
            </w:pPr>
            <w:r>
              <w:rPr/>
              <w:t xml:space="preserve">GranoShield Matt</w:t>
            </w:r>
          </w:p>
        </w:tc>
        <w:tc>
          <w:tcPr>
            <w:tcW w:w="1667" w:type="dxa"/>
          </w:tcPr>
          <w:p>
            <w:pPr>
              <w:pStyle w:val="Tabletext"/>
            </w:pPr>
            <w:r>
              <w:rPr/>
              <w:t xml:space="preserve">GAU3413.09</w:t>
            </w:r>
          </w:p>
          <w:p>
            <w:pPr>
              <w:pStyle w:val="Tabletext"/>
            </w:pPr>
            <w:r>
              <w:rPr/>
              <w:t xml:space="preserve">or</w:t>
            </w:r>
          </w:p>
          <w:p>
            <w:pPr>
              <w:pStyle w:val="Tabletext"/>
            </w:pPr>
            <w:r>
              <w:rPr/>
              <w:t xml:space="preserve">GAU3423.09</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Concrete: In situ/Off–form</w:t>
            </w:r>
          </w:p>
        </w:tc>
        <w:tc>
          <w:tcPr>
            <w:tcW w:w="1667" w:type="dxa"/>
          </w:tcPr>
          <w:p>
            <w:pPr>
              <w:pStyle w:val="Tabletext"/>
            </w:pPr>
            <w:r>
              <w:rPr/>
              <w:t xml:space="preserve">GranoMarble</w:t>
            </w:r>
          </w:p>
          <w:p>
            <w:pPr>
              <w:pStyle w:val="Tabletext"/>
            </w:pPr>
            <w:r>
              <w:rPr/>
              <w:t xml:space="preserve">or</w:t>
            </w:r>
          </w:p>
          <w:p>
            <w:pPr>
              <w:pStyle w:val="Tabletext"/>
            </w:pPr>
            <w:r>
              <w:rPr/>
              <w:t xml:space="preserve">GranoMarble Fast</w:t>
            </w:r>
          </w:p>
        </w:tc>
        <w:tc>
          <w:tcPr>
            <w:tcW w:w="1667" w:type="dxa"/>
          </w:tcPr>
          <w:p>
            <w:pPr>
              <w:pStyle w:val="Tabletext"/>
            </w:pPr>
            <w:r>
              <w:rPr/>
              <w:t xml:space="preserve">GranoShield Matt</w:t>
            </w:r>
          </w:p>
        </w:tc>
        <w:tc>
          <w:tcPr>
            <w:tcW w:w="1667" w:type="dxa"/>
          </w:tcPr>
          <w:p>
            <w:pPr>
              <w:pStyle w:val="Tabletext"/>
            </w:pPr>
            <w:r>
              <w:rPr/>
              <w:t xml:space="preserve">GAU3413.10</w:t>
            </w:r>
          </w:p>
          <w:p>
            <w:pPr>
              <w:pStyle w:val="Tabletext"/>
            </w:pPr>
            <w:r>
              <w:rPr/>
              <w:t xml:space="preserve">or</w:t>
            </w:r>
          </w:p>
          <w:p>
            <w:pPr>
              <w:pStyle w:val="Tabletext"/>
            </w:pPr>
            <w:r>
              <w:rPr/>
              <w:t xml:space="preserve">GAU3423.10</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Autoclaved aerated concrete (AAC)</w:t>
            </w:r>
          </w:p>
        </w:tc>
        <w:tc>
          <w:tcPr>
            <w:tcW w:w="1667" w:type="dxa"/>
          </w:tcPr>
          <w:p>
            <w:pPr>
              <w:pStyle w:val="Tabletext"/>
            </w:pPr>
            <w:r>
              <w:rPr/>
              <w:t xml:space="preserve">GranoMarble</w:t>
            </w:r>
          </w:p>
          <w:p>
            <w:pPr>
              <w:pStyle w:val="Tabletext"/>
            </w:pPr>
            <w:r>
              <w:rPr/>
              <w:t xml:space="preserve">or</w:t>
            </w:r>
          </w:p>
          <w:p>
            <w:pPr>
              <w:pStyle w:val="Tabletext"/>
            </w:pPr>
            <w:r>
              <w:rPr/>
              <w:t xml:space="preserve">GranoMarble Fast</w:t>
            </w:r>
          </w:p>
        </w:tc>
        <w:tc>
          <w:tcPr>
            <w:tcW w:w="1667" w:type="dxa"/>
          </w:tcPr>
          <w:p>
            <w:pPr>
              <w:pStyle w:val="Tabletext"/>
            </w:pPr>
            <w:r>
              <w:rPr/>
              <w:t xml:space="preserve">GranoShield Matt</w:t>
            </w:r>
          </w:p>
        </w:tc>
        <w:tc>
          <w:tcPr>
            <w:tcW w:w="1667" w:type="dxa"/>
          </w:tcPr>
          <w:p>
            <w:pPr>
              <w:pStyle w:val="Tabletext"/>
            </w:pPr>
            <w:r>
              <w:rPr/>
              <w:t xml:space="preserve">GAU3413.21</w:t>
            </w:r>
          </w:p>
          <w:p>
            <w:pPr>
              <w:pStyle w:val="Tabletext"/>
            </w:pPr>
            <w:r>
              <w:rPr/>
              <w:t xml:space="preserve">or</w:t>
            </w:r>
          </w:p>
          <w:p>
            <w:pPr>
              <w:pStyle w:val="Tabletext"/>
            </w:pPr>
            <w:r>
              <w:rPr/>
              <w:t xml:space="preserve">GAU3423.21</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Fibre Cement Sheet (FCS) with rebated edges</w:t>
            </w:r>
          </w:p>
        </w:tc>
        <w:tc>
          <w:tcPr>
            <w:tcW w:w="1667" w:type="dxa"/>
          </w:tcPr>
          <w:p>
            <w:pPr>
              <w:pStyle w:val="Tabletext"/>
            </w:pPr>
            <w:r>
              <w:rPr/>
              <w:t xml:space="preserve">GranoMarble</w:t>
            </w:r>
          </w:p>
          <w:p>
            <w:pPr>
              <w:pStyle w:val="Tabletext"/>
            </w:pPr>
            <w:r>
              <w:rPr/>
              <w:t xml:space="preserve">or</w:t>
            </w:r>
          </w:p>
          <w:p>
            <w:pPr>
              <w:pStyle w:val="Tabletext"/>
            </w:pPr>
            <w:r>
              <w:rPr/>
              <w:t xml:space="preserve">GranoMarble Fast</w:t>
            </w:r>
          </w:p>
        </w:tc>
        <w:tc>
          <w:tcPr>
            <w:tcW w:w="1667" w:type="dxa"/>
          </w:tcPr>
          <w:p>
            <w:pPr>
              <w:pStyle w:val="Tabletext"/>
            </w:pPr>
            <w:r>
              <w:rPr/>
              <w:t xml:space="preserve">GranoShield Matt</w:t>
            </w:r>
          </w:p>
        </w:tc>
        <w:tc>
          <w:tcPr>
            <w:tcW w:w="1667" w:type="dxa"/>
          </w:tcPr>
          <w:p>
            <w:pPr>
              <w:pStyle w:val="Tabletext"/>
            </w:pPr>
            <w:r>
              <w:rPr/>
              <w:t xml:space="preserve">GAU3413.11</w:t>
            </w:r>
          </w:p>
          <w:p>
            <w:pPr>
              <w:pStyle w:val="Tabletext"/>
            </w:pPr>
            <w:r>
              <w:rPr/>
              <w:t xml:space="preserve">or</w:t>
            </w:r>
          </w:p>
          <w:p>
            <w:pPr>
              <w:pStyle w:val="Tabletext"/>
            </w:pPr>
            <w:r>
              <w:rPr/>
              <w:t xml:space="preserve">GAU3423.11</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HardiTex Fibre Cement Sheet (FCS) with rebated edges</w:t>
            </w:r>
          </w:p>
        </w:tc>
        <w:tc>
          <w:tcPr>
            <w:tcW w:w="1667" w:type="dxa"/>
          </w:tcPr>
          <w:p>
            <w:pPr>
              <w:pStyle w:val="Tabletext"/>
            </w:pPr>
            <w:r>
              <w:rPr/>
              <w:t xml:space="preserve">GranoMarble</w:t>
            </w:r>
          </w:p>
          <w:p>
            <w:pPr>
              <w:pStyle w:val="Tabletext"/>
            </w:pPr>
            <w:r>
              <w:rPr/>
              <w:t xml:space="preserve">or</w:t>
            </w:r>
          </w:p>
          <w:p>
            <w:pPr>
              <w:pStyle w:val="Tabletext"/>
            </w:pPr>
            <w:r>
              <w:rPr/>
              <w:t xml:space="preserve">GranoMarble Fast</w:t>
            </w:r>
          </w:p>
        </w:tc>
        <w:tc>
          <w:tcPr>
            <w:tcW w:w="1667" w:type="dxa"/>
          </w:tcPr>
          <w:p>
            <w:pPr>
              <w:pStyle w:val="Tabletext"/>
            </w:pPr>
            <w:r>
              <w:rPr/>
              <w:t xml:space="preserve">GranoShield Matt</w:t>
            </w:r>
          </w:p>
        </w:tc>
        <w:tc>
          <w:tcPr>
            <w:tcW w:w="1667" w:type="dxa"/>
          </w:tcPr>
          <w:p>
            <w:pPr>
              <w:pStyle w:val="Tabletext"/>
            </w:pPr>
            <w:r>
              <w:rPr/>
              <w:t xml:space="preserve">GAU3413.18</w:t>
            </w:r>
          </w:p>
          <w:p>
            <w:pPr>
              <w:pStyle w:val="Tabletext"/>
            </w:pPr>
            <w:r>
              <w:rPr/>
              <w:t xml:space="preserve">or</w:t>
            </w:r>
          </w:p>
          <w:p>
            <w:pPr>
              <w:pStyle w:val="Tabletext"/>
            </w:pPr>
            <w:r>
              <w:rPr/>
              <w:t xml:space="preserve">GAU3423.18</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ComTex Fibre Cement Sheet (FCS) with rebated edges</w:t>
            </w:r>
          </w:p>
        </w:tc>
        <w:tc>
          <w:tcPr>
            <w:tcW w:w="1667" w:type="dxa"/>
          </w:tcPr>
          <w:p>
            <w:pPr>
              <w:pStyle w:val="Tabletext"/>
            </w:pPr>
            <w:r>
              <w:rPr/>
              <w:t xml:space="preserve">GranoMarble</w:t>
            </w:r>
          </w:p>
          <w:p>
            <w:pPr>
              <w:pStyle w:val="Tabletext"/>
            </w:pPr>
            <w:r>
              <w:rPr/>
              <w:t xml:space="preserve">or</w:t>
            </w:r>
          </w:p>
          <w:p>
            <w:pPr>
              <w:pStyle w:val="Tabletext"/>
            </w:pPr>
            <w:r>
              <w:rPr/>
              <w:t xml:space="preserve">GranoMarble Fast</w:t>
            </w:r>
          </w:p>
        </w:tc>
        <w:tc>
          <w:tcPr>
            <w:tcW w:w="1667" w:type="dxa"/>
          </w:tcPr>
          <w:p>
            <w:pPr>
              <w:pStyle w:val="Tabletext"/>
            </w:pPr>
            <w:r>
              <w:rPr/>
              <w:t xml:space="preserve">GranoShield Matt</w:t>
            </w:r>
          </w:p>
        </w:tc>
        <w:tc>
          <w:tcPr>
            <w:tcW w:w="1667" w:type="dxa"/>
          </w:tcPr>
          <w:p>
            <w:pPr>
              <w:pStyle w:val="Tabletext"/>
            </w:pPr>
            <w:r>
              <w:rPr/>
              <w:t xml:space="preserve">GAU3413.27</w:t>
            </w:r>
          </w:p>
          <w:p>
            <w:pPr>
              <w:pStyle w:val="Tabletext"/>
            </w:pPr>
            <w:r>
              <w:rPr/>
              <w:t xml:space="preserve">or</w:t>
            </w:r>
          </w:p>
          <w:p>
            <w:pPr>
              <w:pStyle w:val="Tabletext"/>
            </w:pPr>
            <w:r>
              <w:rPr/>
              <w:t xml:space="preserve">GAU3423.27</w:t>
            </w:r>
          </w:p>
        </w:tc>
        <w:tc>
          <w:tcPr>
            <w:tcW w:w="1667" w:type="dxa"/>
          </w:tcPr>
          <w:p>
            <w:pPr>
              <w:pStyle w:val="Tabletext"/>
            </w:pPr>
            <w:r>
              <w:rPr/>
              <w:t xml:space="preserve"> </w:t>
            </w:r>
          </w:p>
        </w:tc>
      </w:tr>
    </w:tbl>
    <w:p>
      <w:pPr>
        <w:pStyle w:val="Normal"/>
      </w:pPr>
      <w:r>
        <w:rPr/>
        <w:t xml:space="preserve"> </w:t>
      </w:r>
    </w:p>
    <w:bookmarkEnd w:id="240"/>
    <w:bookmarkEnd w:id="239"/>
    <w:bookmarkStart w:name="f-65017" w:id="242"/>
    <w:bookmarkStart w:name="f-65017-content1" w:id="243"/>
    <w:p>
      <w:pPr>
        <w:pStyle w:val="Heading4"/>
      </w:pPr>
      <w:bookmarkStart w:name="h-65017-content1" w:id="244"/>
      <w:r>
        <w:rPr/>
        <w:t xml:space="preserve">Trowel-on texture: Fine sand aggregate texture finish schedule</w:t>
      </w:r>
      <w:bookmarkEnd w:id="244"/>
    </w:p>
    <w:p>
      <w:pPr>
        <w:pStyle w:val="Instructions"/>
      </w:pPr>
      <w:r>
        <w:rPr/>
        <w:t xml:space="preserve">Fine sand grainy trowel applied texture.</w:t>
      </w:r>
    </w:p>
    <w:p>
      <w:pPr>
        <w:pStyle w:val="Instructions"/>
      </w:pPr>
      <w:r>
        <w:rPr/>
        <w:t xml:space="preserve">Aggregate is prominent and light reflective.</w:t>
      </w:r>
    </w:p>
    <w:p>
      <w:pPr>
        <w:pStyle w:val="Instructions"/>
      </w:pPr>
      <w:r>
        <w:rPr/>
        <w:t xml:space="preserve">Tinted primer to stabilise the surface and promote adhesion.</w:t>
      </w:r>
    </w:p>
    <w:p>
      <w:pPr>
        <w:pStyle w:val="Instructions"/>
      </w:pPr>
      <w:r>
        <w:rPr/>
        <w:t xml:space="preserve">Fine sand grainy trowel applied texture.</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t xml:space="preserve">Coating code</w:t>
            </w:r>
          </w:p>
        </w:tc>
        <w:tc>
          <w:tcPr>
            <w:tcW w:w="1667" w:type="dxa"/>
          </w:tcPr>
          <w:p>
            <w:pPr>
              <w:pStyle w:val="Tabletitle"/>
            </w:pPr>
            <w:r>
              <w:rPr/>
              <w:t xml:space="preserve">Substrate</w:t>
            </w:r>
          </w:p>
        </w:tc>
        <w:tc>
          <w:tcPr>
            <w:tcW w:w="1667" w:type="dxa"/>
          </w:tcPr>
          <w:p>
            <w:pPr>
              <w:pStyle w:val="Tabletitle"/>
            </w:pPr>
            <w:r>
              <w:rPr/>
              <w:t xml:space="preserve">Intermediate coat</w:t>
            </w:r>
          </w:p>
        </w:tc>
        <w:tc>
          <w:tcPr>
            <w:tcW w:w="1667" w:type="dxa"/>
          </w:tcPr>
          <w:p>
            <w:pPr>
              <w:pStyle w:val="Tabletitle"/>
            </w:pPr>
            <w:r>
              <w:rPr/>
              <w:t xml:space="preserve">Top coat (optional)</w:t>
            </w:r>
          </w:p>
        </w:tc>
        <w:tc>
          <w:tcPr>
            <w:tcW w:w="1667" w:type="dxa"/>
          </w:tcPr>
          <w:p>
            <w:pPr>
              <w:pStyle w:val="Tabletitle"/>
            </w:pPr>
            <w:r>
              <w:rPr/>
              <w:t xml:space="preserve">Coating system</w:t>
            </w:r>
          </w:p>
        </w:tc>
        <w:tc>
          <w:tcPr>
            <w:tcW w:w="1667" w:type="dxa"/>
          </w:tcPr>
          <w:p>
            <w:pPr>
              <w:pStyle w:val="Tabletitle"/>
            </w:pPr>
            <w:r>
              <w:rPr/>
              <w:t xml:space="preserve">Colour reference</w:t>
            </w:r>
          </w:p>
        </w:tc>
      </w:tr>
      <w:tr>
        <w:tc>
          <w:tcPr>
            <w:tcW w:w="1667" w:type="dxa"/>
          </w:tcPr>
          <w:p>
            <w:pPr>
              <w:pStyle w:val="Tabletext"/>
            </w:pPr>
            <w:r>
              <w:rPr/>
              <w:t xml:space="preserve"> </w:t>
            </w:r>
          </w:p>
        </w:tc>
        <w:tc>
          <w:tcPr>
            <w:tcW w:w="1667" w:type="dxa"/>
          </w:tcPr>
          <w:p>
            <w:pPr>
              <w:pStyle w:val="Tabletext"/>
            </w:pPr>
            <w:r>
              <w:rPr/>
              <w:t xml:space="preserve">Brickwork/ Blockwork/ Masonry</w:t>
            </w:r>
          </w:p>
        </w:tc>
        <w:tc>
          <w:tcPr>
            <w:tcW w:w="1667" w:type="dxa"/>
          </w:tcPr>
          <w:p>
            <w:pPr>
              <w:pStyle w:val="Tabletext"/>
            </w:pPr>
            <w:r>
              <w:rPr/>
              <w:t xml:space="preserve">GranoQuartz</w:t>
            </w:r>
          </w:p>
        </w:tc>
        <w:tc>
          <w:tcPr>
            <w:tcW w:w="1667" w:type="dxa"/>
          </w:tcPr>
          <w:p>
            <w:pPr>
              <w:pStyle w:val="Tabletext"/>
            </w:pPr>
            <w:r>
              <w:rPr/>
              <w:t xml:space="preserve"> </w:t>
            </w:r>
          </w:p>
        </w:tc>
        <w:tc>
          <w:tcPr>
            <w:tcW w:w="1667" w:type="dxa"/>
          </w:tcPr>
          <w:p>
            <w:pPr>
              <w:pStyle w:val="Tabletext"/>
            </w:pPr>
            <w:r>
              <w:rPr/>
              <w:t xml:space="preserve">GAU3425.08</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Brickwork/ Blockwork/ Masonry</w:t>
            </w:r>
          </w:p>
        </w:tc>
        <w:tc>
          <w:tcPr>
            <w:tcW w:w="1667" w:type="dxa"/>
          </w:tcPr>
          <w:p>
            <w:pPr>
              <w:pStyle w:val="Tabletext"/>
            </w:pPr>
            <w:r>
              <w:rPr/>
              <w:t xml:space="preserve">GranoQuartz</w:t>
            </w:r>
          </w:p>
        </w:tc>
        <w:tc>
          <w:tcPr>
            <w:tcW w:w="1667" w:type="dxa"/>
          </w:tcPr>
          <w:p>
            <w:pPr>
              <w:pStyle w:val="Tabletext"/>
            </w:pPr>
            <w:r>
              <w:rPr/>
              <w:t xml:space="preserve">GranoGlaze Satin</w:t>
            </w:r>
          </w:p>
        </w:tc>
        <w:tc>
          <w:tcPr>
            <w:tcW w:w="1667" w:type="dxa"/>
          </w:tcPr>
          <w:p>
            <w:pPr>
              <w:pStyle w:val="Tabletext"/>
            </w:pPr>
            <w:r>
              <w:rPr/>
              <w:t xml:space="preserve">GAU3426.08</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Cement Render</w:t>
            </w:r>
          </w:p>
        </w:tc>
        <w:tc>
          <w:tcPr>
            <w:tcW w:w="1667" w:type="dxa"/>
          </w:tcPr>
          <w:p>
            <w:pPr>
              <w:pStyle w:val="Tabletext"/>
            </w:pPr>
            <w:r>
              <w:rPr/>
              <w:t xml:space="preserve">GranoQuartz</w:t>
            </w:r>
          </w:p>
        </w:tc>
        <w:tc>
          <w:tcPr>
            <w:tcW w:w="1667" w:type="dxa"/>
          </w:tcPr>
          <w:p>
            <w:pPr>
              <w:pStyle w:val="Tabletext"/>
            </w:pPr>
            <w:r>
              <w:rPr/>
              <w:t xml:space="preserve"> </w:t>
            </w:r>
          </w:p>
        </w:tc>
        <w:tc>
          <w:tcPr>
            <w:tcW w:w="1667" w:type="dxa"/>
          </w:tcPr>
          <w:p>
            <w:pPr>
              <w:pStyle w:val="Tabletext"/>
            </w:pPr>
            <w:r>
              <w:rPr/>
              <w:t xml:space="preserve">GAU3425.09</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Cement Render</w:t>
            </w:r>
          </w:p>
        </w:tc>
        <w:tc>
          <w:tcPr>
            <w:tcW w:w="1667" w:type="dxa"/>
          </w:tcPr>
          <w:p>
            <w:pPr>
              <w:pStyle w:val="Tabletext"/>
            </w:pPr>
            <w:r>
              <w:rPr/>
              <w:t xml:space="preserve">GranoQuartz</w:t>
            </w:r>
          </w:p>
        </w:tc>
        <w:tc>
          <w:tcPr>
            <w:tcW w:w="1667" w:type="dxa"/>
          </w:tcPr>
          <w:p>
            <w:pPr>
              <w:pStyle w:val="Tabletext"/>
            </w:pPr>
            <w:r>
              <w:rPr/>
              <w:t xml:space="preserve">GranoGlaze Satin</w:t>
            </w:r>
          </w:p>
        </w:tc>
        <w:tc>
          <w:tcPr>
            <w:tcW w:w="1667" w:type="dxa"/>
          </w:tcPr>
          <w:p>
            <w:pPr>
              <w:pStyle w:val="Tabletext"/>
            </w:pPr>
            <w:r>
              <w:rPr/>
              <w:t xml:space="preserve">GAU3426.09</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Concrete: In situ/Off–form</w:t>
            </w:r>
          </w:p>
        </w:tc>
        <w:tc>
          <w:tcPr>
            <w:tcW w:w="1667" w:type="dxa"/>
          </w:tcPr>
          <w:p>
            <w:pPr>
              <w:pStyle w:val="Tabletext"/>
            </w:pPr>
            <w:r>
              <w:rPr/>
              <w:t xml:space="preserve">GranoQuartz</w:t>
            </w:r>
          </w:p>
        </w:tc>
        <w:tc>
          <w:tcPr>
            <w:tcW w:w="1667" w:type="dxa"/>
          </w:tcPr>
          <w:p>
            <w:pPr>
              <w:pStyle w:val="Tabletext"/>
            </w:pPr>
            <w:r>
              <w:rPr/>
              <w:t xml:space="preserve"> </w:t>
            </w:r>
          </w:p>
        </w:tc>
        <w:tc>
          <w:tcPr>
            <w:tcW w:w="1667" w:type="dxa"/>
          </w:tcPr>
          <w:p>
            <w:pPr>
              <w:pStyle w:val="Tabletext"/>
            </w:pPr>
            <w:r>
              <w:rPr/>
              <w:t xml:space="preserve">GAU3425.10</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Concrete: In situ/Off–form</w:t>
            </w:r>
          </w:p>
        </w:tc>
        <w:tc>
          <w:tcPr>
            <w:tcW w:w="1667" w:type="dxa"/>
          </w:tcPr>
          <w:p>
            <w:pPr>
              <w:pStyle w:val="Tabletext"/>
            </w:pPr>
            <w:r>
              <w:rPr/>
              <w:t xml:space="preserve">GranoQuartz</w:t>
            </w:r>
          </w:p>
        </w:tc>
        <w:tc>
          <w:tcPr>
            <w:tcW w:w="1667" w:type="dxa"/>
          </w:tcPr>
          <w:p>
            <w:pPr>
              <w:pStyle w:val="Tabletext"/>
            </w:pPr>
            <w:r>
              <w:rPr/>
              <w:t xml:space="preserve">GranoGlaze Satin</w:t>
            </w:r>
          </w:p>
        </w:tc>
        <w:tc>
          <w:tcPr>
            <w:tcW w:w="1667" w:type="dxa"/>
          </w:tcPr>
          <w:p>
            <w:pPr>
              <w:pStyle w:val="Tabletext"/>
            </w:pPr>
            <w:r>
              <w:rPr/>
              <w:t xml:space="preserve">GAU3426.10</w:t>
            </w:r>
          </w:p>
        </w:tc>
        <w:tc>
          <w:tcPr>
            <w:tcW w:w="1667" w:type="dxa"/>
          </w:tcPr>
          <w:p>
            <w:pPr>
              <w:pStyle w:val="Tabletext"/>
            </w:pPr>
            <w:r>
              <w:rPr/>
              <w:t xml:space="preserve"> </w:t>
            </w:r>
          </w:p>
        </w:tc>
      </w:tr>
    </w:tbl>
    <w:p>
      <w:pPr>
        <w:pStyle w:val="Normal"/>
      </w:pPr>
      <w:r>
        <w:rPr/>
        <w:t xml:space="preserve"> </w:t>
      </w:r>
    </w:p>
    <w:bookmarkEnd w:id="243"/>
    <w:bookmarkEnd w:id="242"/>
    <w:bookmarkStart w:name="f-84037" w:id="245"/>
    <w:bookmarkStart w:name="f-84037-content1" w:id="246"/>
    <w:p>
      <w:pPr>
        <w:pStyle w:val="Heading4"/>
      </w:pPr>
      <w:bookmarkStart w:name="h-84037-content1" w:id="247"/>
      <w:r>
        <w:rPr/>
        <w:t xml:space="preserve">Aggregate texture: GranoGranit 2 mm texture finish schedule</w:t>
      </w:r>
      <w:bookmarkEnd w:id="247"/>
    </w:p>
    <w:p>
      <w:pPr>
        <w:pStyle w:val="Instructions"/>
      </w:pPr>
      <w:r>
        <w:rPr/>
        <w:t xml:space="preserve">2 mm aggregate in clear acrylic binder.</w:t>
      </w:r>
    </w:p>
    <w:p>
      <w:pPr>
        <w:pStyle w:val="Instructions"/>
      </w:pPr>
      <w:r>
        <w:rPr/>
        <w:t xml:space="preserve">Natural aggregate finish.</w:t>
      </w:r>
    </w:p>
    <w:p>
      <w:pPr>
        <w:pStyle w:val="Instructions"/>
      </w:pPr>
      <w:r>
        <w:rPr/>
        <w:t xml:space="preserve">Suitable for high traffic areas.</w:t>
      </w:r>
    </w:p>
    <w:p>
      <w:pPr>
        <w:pStyle w:val="Instructions"/>
      </w:pPr>
      <w:r>
        <w:rPr/>
        <w:t xml:space="preserve">Applied by stainless steel trowel.</w:t>
      </w:r>
    </w:p>
    <w:p>
      <w:pPr>
        <w:pStyle w:val="Instructions"/>
      </w:pPr>
      <w:r>
        <w:rPr/>
        <w:t xml:space="preserve">Primer to stabilise the surface and promote adhesion.</w:t>
      </w:r>
    </w:p>
    <w:p>
      <w:pPr>
        <w:pStyle w:val="Instructions"/>
      </w:pPr>
      <w:r>
        <w:rPr/>
        <w:t xml:space="preserve">GranoBasecoat coloured undercoat.</w:t>
      </w:r>
    </w:p>
    <w:p>
      <w:pPr>
        <w:pStyle w:val="Instructions"/>
      </w:pPr>
      <w:r>
        <w:rPr/>
        <w:t xml:space="preserve">Top coated with GranoGlaze Satin.</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t xml:space="preserve">Coating code</w:t>
            </w:r>
          </w:p>
        </w:tc>
        <w:tc>
          <w:tcPr>
            <w:tcW w:w="1667" w:type="dxa"/>
          </w:tcPr>
          <w:p>
            <w:pPr>
              <w:pStyle w:val="Tabletitle"/>
            </w:pPr>
            <w:r>
              <w:rPr/>
              <w:t xml:space="preserve">Substrate</w:t>
            </w:r>
          </w:p>
        </w:tc>
        <w:tc>
          <w:tcPr>
            <w:tcW w:w="1667" w:type="dxa"/>
          </w:tcPr>
          <w:p>
            <w:pPr>
              <w:pStyle w:val="Tabletitle"/>
            </w:pPr>
            <w:r>
              <w:rPr/>
              <w:t xml:space="preserve">Intermediate coat</w:t>
            </w:r>
          </w:p>
        </w:tc>
        <w:tc>
          <w:tcPr>
            <w:tcW w:w="1667" w:type="dxa"/>
          </w:tcPr>
          <w:p>
            <w:pPr>
              <w:pStyle w:val="Tabletitle"/>
            </w:pPr>
            <w:r>
              <w:rPr/>
              <w:t xml:space="preserve">Top coat</w:t>
            </w:r>
          </w:p>
        </w:tc>
        <w:tc>
          <w:tcPr>
            <w:tcW w:w="1667" w:type="dxa"/>
          </w:tcPr>
          <w:p>
            <w:pPr>
              <w:pStyle w:val="Tabletitle"/>
            </w:pPr>
            <w:r>
              <w:rPr/>
              <w:t xml:space="preserve">Coating system</w:t>
            </w:r>
          </w:p>
        </w:tc>
        <w:tc>
          <w:tcPr>
            <w:tcW w:w="1667" w:type="dxa"/>
          </w:tcPr>
          <w:p>
            <w:pPr>
              <w:pStyle w:val="Tabletitle"/>
            </w:pPr>
            <w:r>
              <w:rPr/>
              <w:t xml:space="preserve">Colour reference</w:t>
            </w:r>
          </w:p>
        </w:tc>
      </w:tr>
      <w:tr>
        <w:tc>
          <w:tcPr>
            <w:tcW w:w="1667" w:type="dxa"/>
          </w:tcPr>
          <w:p>
            <w:pPr>
              <w:pStyle w:val="Tabletext"/>
            </w:pPr>
            <w:r>
              <w:rPr/>
              <w:t xml:space="preserve"> </w:t>
            </w:r>
          </w:p>
        </w:tc>
        <w:tc>
          <w:tcPr>
            <w:tcW w:w="1667" w:type="dxa"/>
          </w:tcPr>
          <w:p>
            <w:pPr>
              <w:pStyle w:val="Tabletext"/>
            </w:pPr>
            <w:r>
              <w:rPr/>
              <w:t xml:space="preserve">Brickwork/ Blockwork/ Masonry</w:t>
            </w:r>
          </w:p>
        </w:tc>
        <w:tc>
          <w:tcPr>
            <w:tcW w:w="1667" w:type="dxa"/>
          </w:tcPr>
          <w:p>
            <w:pPr>
              <w:pStyle w:val="Tabletext"/>
            </w:pPr>
            <w:r>
              <w:rPr/>
              <w:t xml:space="preserve">GranoGranit 2 mm</w:t>
            </w:r>
          </w:p>
        </w:tc>
        <w:tc>
          <w:tcPr>
            <w:tcW w:w="1667" w:type="dxa"/>
          </w:tcPr>
          <w:p>
            <w:pPr>
              <w:pStyle w:val="Tabletext"/>
            </w:pPr>
            <w:r>
              <w:rPr/>
              <w:t xml:space="preserve">GranoGlaze Satin</w:t>
            </w:r>
          </w:p>
        </w:tc>
        <w:tc>
          <w:tcPr>
            <w:tcW w:w="1667" w:type="dxa"/>
          </w:tcPr>
          <w:p>
            <w:pPr>
              <w:pStyle w:val="Tabletext"/>
            </w:pPr>
            <w:r>
              <w:rPr/>
              <w:t xml:space="preserve">GAU3510.08</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Cement Render</w:t>
            </w:r>
          </w:p>
        </w:tc>
        <w:tc>
          <w:tcPr>
            <w:tcW w:w="1667" w:type="dxa"/>
          </w:tcPr>
          <w:p>
            <w:pPr>
              <w:pStyle w:val="Tabletext"/>
            </w:pPr>
            <w:r>
              <w:rPr/>
              <w:t xml:space="preserve">GranoGranit 2 mm</w:t>
            </w:r>
          </w:p>
        </w:tc>
        <w:tc>
          <w:tcPr>
            <w:tcW w:w="1667" w:type="dxa"/>
          </w:tcPr>
          <w:p>
            <w:pPr>
              <w:pStyle w:val="Tabletext"/>
            </w:pPr>
            <w:r>
              <w:rPr/>
              <w:t xml:space="preserve">GranoGlaze Satin</w:t>
            </w:r>
          </w:p>
        </w:tc>
        <w:tc>
          <w:tcPr>
            <w:tcW w:w="1667" w:type="dxa"/>
          </w:tcPr>
          <w:p>
            <w:pPr>
              <w:pStyle w:val="Tabletext"/>
            </w:pPr>
            <w:r>
              <w:rPr/>
              <w:t xml:space="preserve">GAU3510.09</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Concrete: In situ/Off–form</w:t>
            </w:r>
          </w:p>
        </w:tc>
        <w:tc>
          <w:tcPr>
            <w:tcW w:w="1667" w:type="dxa"/>
          </w:tcPr>
          <w:p>
            <w:pPr>
              <w:pStyle w:val="Tabletext"/>
            </w:pPr>
            <w:r>
              <w:rPr/>
              <w:t xml:space="preserve">GranoGranit 2 mm</w:t>
            </w:r>
          </w:p>
        </w:tc>
        <w:tc>
          <w:tcPr>
            <w:tcW w:w="1667" w:type="dxa"/>
          </w:tcPr>
          <w:p>
            <w:pPr>
              <w:pStyle w:val="Tabletext"/>
            </w:pPr>
            <w:r>
              <w:rPr/>
              <w:t xml:space="preserve">GranoGlaze Satin</w:t>
            </w:r>
          </w:p>
        </w:tc>
        <w:tc>
          <w:tcPr>
            <w:tcW w:w="1667" w:type="dxa"/>
          </w:tcPr>
          <w:p>
            <w:pPr>
              <w:pStyle w:val="Tabletext"/>
            </w:pPr>
            <w:r>
              <w:rPr/>
              <w:t xml:space="preserve">GAU3510.10</w:t>
            </w:r>
          </w:p>
        </w:tc>
        <w:tc>
          <w:tcPr>
            <w:tcW w:w="1667" w:type="dxa"/>
          </w:tcPr>
          <w:p>
            <w:pPr>
              <w:pStyle w:val="Tabletext"/>
            </w:pPr>
            <w:r>
              <w:rPr/>
              <w:t xml:space="preserve"> </w:t>
            </w:r>
          </w:p>
        </w:tc>
      </w:tr>
    </w:tbl>
    <w:p>
      <w:pPr>
        <w:pStyle w:val="Normal"/>
      </w:pPr>
      <w:r>
        <w:rPr/>
        <w:t xml:space="preserve"> </w:t>
      </w:r>
    </w:p>
    <w:bookmarkEnd w:id="246"/>
    <w:bookmarkEnd w:id="245"/>
    <w:bookmarkStart w:name="f-96951" w:id="248"/>
    <w:bookmarkStart w:name="f-96951-content1" w:id="249"/>
    <w:p>
      <w:pPr>
        <w:pStyle w:val="Heading4"/>
      </w:pPr>
      <w:bookmarkStart w:name="h-96951-content1" w:id="250"/>
      <w:r>
        <w:rPr/>
        <w:t xml:space="preserve">Aggregate texture: GranoStone, 1 and 2 mm texture finish schedule</w:t>
      </w:r>
      <w:bookmarkEnd w:id="250"/>
    </w:p>
    <w:p>
      <w:pPr>
        <w:pStyle w:val="Instructions"/>
      </w:pPr>
      <w:r>
        <w:rPr/>
        <w:t xml:space="preserve">1 mm and 2 mm aggregate embedded in GranoStone Base acrylic binder.</w:t>
      </w:r>
    </w:p>
    <w:p>
      <w:pPr>
        <w:pStyle w:val="Instructions"/>
      </w:pPr>
      <w:r>
        <w:rPr/>
        <w:t xml:space="preserve">Natural aggregate finish.</w:t>
      </w:r>
    </w:p>
    <w:p>
      <w:pPr>
        <w:pStyle w:val="Instructions"/>
      </w:pPr>
      <w:r>
        <w:rPr/>
        <w:t xml:space="preserve">Applied by hopper gun.</w:t>
      </w:r>
    </w:p>
    <w:p>
      <w:pPr>
        <w:pStyle w:val="Instructions"/>
      </w:pPr>
      <w:r>
        <w:rPr/>
        <w:t xml:space="preserve">Primer to stabilise the surface and promote adhesion.</w:t>
      </w:r>
    </w:p>
    <w:p>
      <w:pPr>
        <w:pStyle w:val="Instructions"/>
      </w:pPr>
      <w:r>
        <w:rPr/>
        <w:t xml:space="preserve">Top coated with GranoGlaze Satin.</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t xml:space="preserve">Coating code</w:t>
            </w:r>
          </w:p>
        </w:tc>
        <w:tc>
          <w:tcPr>
            <w:tcW w:w="1667" w:type="dxa"/>
          </w:tcPr>
          <w:p>
            <w:pPr>
              <w:pStyle w:val="Tabletitle"/>
            </w:pPr>
            <w:r>
              <w:rPr/>
              <w:t xml:space="preserve">Substrate</w:t>
            </w:r>
          </w:p>
        </w:tc>
        <w:tc>
          <w:tcPr>
            <w:tcW w:w="1667" w:type="dxa"/>
          </w:tcPr>
          <w:p>
            <w:pPr>
              <w:pStyle w:val="Tabletitle"/>
            </w:pPr>
            <w:r>
              <w:rPr/>
              <w:t xml:space="preserve">Intermediate coat</w:t>
            </w:r>
          </w:p>
        </w:tc>
        <w:tc>
          <w:tcPr>
            <w:tcW w:w="1667" w:type="dxa"/>
          </w:tcPr>
          <w:p>
            <w:pPr>
              <w:pStyle w:val="Tabletitle"/>
            </w:pPr>
            <w:r>
              <w:rPr/>
              <w:t xml:space="preserve">Top coat</w:t>
            </w:r>
          </w:p>
        </w:tc>
        <w:tc>
          <w:tcPr>
            <w:tcW w:w="1667" w:type="dxa"/>
          </w:tcPr>
          <w:p>
            <w:pPr>
              <w:pStyle w:val="Tabletitle"/>
            </w:pPr>
            <w:r>
              <w:rPr/>
              <w:t xml:space="preserve">Coating system</w:t>
            </w:r>
          </w:p>
        </w:tc>
        <w:tc>
          <w:tcPr>
            <w:tcW w:w="1667" w:type="dxa"/>
          </w:tcPr>
          <w:p>
            <w:pPr>
              <w:pStyle w:val="Tabletitle"/>
            </w:pPr>
            <w:r>
              <w:rPr/>
              <w:t xml:space="preserve">Colour reference</w:t>
            </w:r>
          </w:p>
        </w:tc>
      </w:tr>
      <w:tr>
        <w:tc>
          <w:tcPr>
            <w:tcW w:w="1667" w:type="dxa"/>
          </w:tcPr>
          <w:p>
            <w:pPr>
              <w:pStyle w:val="Tabletext"/>
            </w:pPr>
            <w:r>
              <w:rPr/>
              <w:t xml:space="preserve"> </w:t>
            </w:r>
          </w:p>
        </w:tc>
        <w:tc>
          <w:tcPr>
            <w:tcW w:w="1667" w:type="dxa"/>
          </w:tcPr>
          <w:p>
            <w:pPr>
              <w:pStyle w:val="Tabletext"/>
            </w:pPr>
            <w:r>
              <w:rPr/>
              <w:t xml:space="preserve">Brickwork/ Blockwork/ Masonry</w:t>
            </w:r>
          </w:p>
        </w:tc>
        <w:tc>
          <w:tcPr>
            <w:tcW w:w="1667" w:type="dxa"/>
          </w:tcPr>
          <w:p>
            <w:pPr>
              <w:pStyle w:val="Tabletext"/>
            </w:pPr>
            <w:r>
              <w:rPr/>
              <w:t xml:space="preserve">GranoStone 1 mm system</w:t>
            </w:r>
          </w:p>
        </w:tc>
        <w:tc>
          <w:tcPr>
            <w:tcW w:w="1667" w:type="dxa"/>
          </w:tcPr>
          <w:p>
            <w:pPr>
              <w:pStyle w:val="Tabletext"/>
            </w:pPr>
            <w:r>
              <w:rPr/>
              <w:t xml:space="preserve">GranoGlaze Satin</w:t>
            </w:r>
          </w:p>
        </w:tc>
        <w:tc>
          <w:tcPr>
            <w:tcW w:w="1667" w:type="dxa"/>
          </w:tcPr>
          <w:p>
            <w:pPr>
              <w:pStyle w:val="Tabletext"/>
            </w:pPr>
            <w:r>
              <w:rPr/>
              <w:t xml:space="preserve">GAU3520.08</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Brickwork/ Blockwork/ Masonry</w:t>
            </w:r>
          </w:p>
        </w:tc>
        <w:tc>
          <w:tcPr>
            <w:tcW w:w="1667" w:type="dxa"/>
          </w:tcPr>
          <w:p>
            <w:pPr>
              <w:pStyle w:val="Tabletext"/>
            </w:pPr>
            <w:r>
              <w:rPr/>
              <w:t xml:space="preserve">GranoStone 2 mm system</w:t>
            </w:r>
          </w:p>
        </w:tc>
        <w:tc>
          <w:tcPr>
            <w:tcW w:w="1667" w:type="dxa"/>
          </w:tcPr>
          <w:p>
            <w:pPr>
              <w:pStyle w:val="Tabletext"/>
            </w:pPr>
            <w:r>
              <w:rPr/>
              <w:t xml:space="preserve">GranoGlaze Satin</w:t>
            </w:r>
          </w:p>
        </w:tc>
        <w:tc>
          <w:tcPr>
            <w:tcW w:w="1667" w:type="dxa"/>
          </w:tcPr>
          <w:p>
            <w:pPr>
              <w:pStyle w:val="Tabletext"/>
            </w:pPr>
            <w:r>
              <w:rPr/>
              <w:t xml:space="preserve">GAU3530.08</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Cement Render</w:t>
            </w:r>
          </w:p>
        </w:tc>
        <w:tc>
          <w:tcPr>
            <w:tcW w:w="1667" w:type="dxa"/>
          </w:tcPr>
          <w:p>
            <w:pPr>
              <w:pStyle w:val="Tabletext"/>
            </w:pPr>
            <w:r>
              <w:rPr/>
              <w:t xml:space="preserve">GranoStone 1 mm system</w:t>
            </w:r>
          </w:p>
        </w:tc>
        <w:tc>
          <w:tcPr>
            <w:tcW w:w="1667" w:type="dxa"/>
          </w:tcPr>
          <w:p>
            <w:pPr>
              <w:pStyle w:val="Tabletext"/>
            </w:pPr>
            <w:r>
              <w:rPr/>
              <w:t xml:space="preserve">GranoGlaze Satin</w:t>
            </w:r>
          </w:p>
        </w:tc>
        <w:tc>
          <w:tcPr>
            <w:tcW w:w="1667" w:type="dxa"/>
          </w:tcPr>
          <w:p>
            <w:pPr>
              <w:pStyle w:val="Tabletext"/>
            </w:pPr>
            <w:r>
              <w:rPr/>
              <w:t xml:space="preserve">GAU3520.09</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Cement Render</w:t>
            </w:r>
          </w:p>
        </w:tc>
        <w:tc>
          <w:tcPr>
            <w:tcW w:w="1667" w:type="dxa"/>
          </w:tcPr>
          <w:p>
            <w:pPr>
              <w:pStyle w:val="Tabletext"/>
            </w:pPr>
            <w:r>
              <w:rPr/>
              <w:t xml:space="preserve">GranoStone 2 mm system</w:t>
            </w:r>
          </w:p>
        </w:tc>
        <w:tc>
          <w:tcPr>
            <w:tcW w:w="1667" w:type="dxa"/>
          </w:tcPr>
          <w:p>
            <w:pPr>
              <w:pStyle w:val="Tabletext"/>
            </w:pPr>
            <w:r>
              <w:rPr/>
              <w:t xml:space="preserve">GranoGlaze Satin</w:t>
            </w:r>
          </w:p>
        </w:tc>
        <w:tc>
          <w:tcPr>
            <w:tcW w:w="1667" w:type="dxa"/>
          </w:tcPr>
          <w:p>
            <w:pPr>
              <w:pStyle w:val="Tabletext"/>
            </w:pPr>
            <w:r>
              <w:rPr/>
              <w:t xml:space="preserve">GAU3530.09</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Concrete: In situ/Off–form</w:t>
            </w:r>
          </w:p>
        </w:tc>
        <w:tc>
          <w:tcPr>
            <w:tcW w:w="1667" w:type="dxa"/>
          </w:tcPr>
          <w:p>
            <w:pPr>
              <w:pStyle w:val="Tabletext"/>
            </w:pPr>
            <w:r>
              <w:rPr/>
              <w:t xml:space="preserve">GranoStone 1 mm system</w:t>
            </w:r>
          </w:p>
        </w:tc>
        <w:tc>
          <w:tcPr>
            <w:tcW w:w="1667" w:type="dxa"/>
          </w:tcPr>
          <w:p>
            <w:pPr>
              <w:pStyle w:val="Tabletext"/>
            </w:pPr>
            <w:r>
              <w:rPr/>
              <w:t xml:space="preserve">GranoGlaze Satin</w:t>
            </w:r>
          </w:p>
        </w:tc>
        <w:tc>
          <w:tcPr>
            <w:tcW w:w="1667" w:type="dxa"/>
          </w:tcPr>
          <w:p>
            <w:pPr>
              <w:pStyle w:val="Tabletext"/>
            </w:pPr>
            <w:r>
              <w:rPr/>
              <w:t xml:space="preserve">GAU3520.10</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Concrete: In situ/Off–form</w:t>
            </w:r>
          </w:p>
        </w:tc>
        <w:tc>
          <w:tcPr>
            <w:tcW w:w="1667" w:type="dxa"/>
          </w:tcPr>
          <w:p>
            <w:pPr>
              <w:pStyle w:val="Tabletext"/>
            </w:pPr>
            <w:r>
              <w:rPr/>
              <w:t xml:space="preserve">GranoStone 2 mm system</w:t>
            </w:r>
          </w:p>
        </w:tc>
        <w:tc>
          <w:tcPr>
            <w:tcW w:w="1667" w:type="dxa"/>
          </w:tcPr>
          <w:p>
            <w:pPr>
              <w:pStyle w:val="Tabletext"/>
            </w:pPr>
            <w:r>
              <w:rPr/>
              <w:t xml:space="preserve">GranoGlaze Satin</w:t>
            </w:r>
          </w:p>
        </w:tc>
        <w:tc>
          <w:tcPr>
            <w:tcW w:w="1667" w:type="dxa"/>
          </w:tcPr>
          <w:p>
            <w:pPr>
              <w:pStyle w:val="Tabletext"/>
            </w:pPr>
            <w:r>
              <w:rPr/>
              <w:t xml:space="preserve">GAU3530.10</w:t>
            </w:r>
          </w:p>
        </w:tc>
        <w:tc>
          <w:tcPr>
            <w:tcW w:w="1667" w:type="dxa"/>
          </w:tcPr>
          <w:p>
            <w:pPr>
              <w:pStyle w:val="Tabletext"/>
            </w:pPr>
            <w:r>
              <w:rPr/>
              <w:t xml:space="preserve"> </w:t>
            </w:r>
          </w:p>
        </w:tc>
      </w:tr>
    </w:tbl>
    <w:p>
      <w:pPr>
        <w:pStyle w:val="Normal"/>
      </w:pPr>
      <w:r>
        <w:rPr/>
        <w:t xml:space="preserve"> </w:t>
      </w:r>
    </w:p>
    <w:p>
      <w:pPr>
        <w:pStyle w:val="Instructions"/>
      </w:pPr>
      <w:r>
        <w:rPr/>
        <w:t xml:space="preserve">Coating code: The project specific identifier for reference in a Finishes Schedule, e.g. P1, P2.</w:t>
      </w:r>
    </w:p>
    <w:p>
      <w:pPr>
        <w:pStyle w:val="Instructions"/>
      </w:pPr>
      <w:r>
        <w:rPr/>
        <w:t xml:space="preserve">Substrate: Used to reference the Coating systems e.g. Concrete. Different substrates usually require different coating systems.</w:t>
      </w:r>
    </w:p>
    <w:p>
      <w:pPr>
        <w:pStyle w:val="Instructions"/>
      </w:pPr>
      <w:r>
        <w:rPr/>
        <w:t xml:space="preserve">Final coat: Design decision, e.g. GranoImpact.</w:t>
      </w:r>
    </w:p>
    <w:p>
      <w:pPr>
        <w:pStyle w:val="Instructions"/>
      </w:pPr>
      <w:r>
        <w:rPr/>
        <w:t xml:space="preserve">Coating system: Valspar specification sheet reference as designated.</w:t>
      </w:r>
    </w:p>
    <w:bookmarkEnd w:id="249"/>
    <w:bookmarkEnd w:id="248"/>
    <w:bookmarkEnd w:id="1"/>
    <w:bookmarkStart w:name="f-worksection-refdoc" w:id="251"/>
    <w:p>
      <w:pPr>
        <w:pStyle w:val="InstructionsHeading4"/>
      </w:pPr>
      <w:r>
        <w:rPr/>
        <w:t xml:space="preserve">REFERENCED DOCUMENTS</w:t>
      </w:r>
    </w:p>
    <w:p>
      <w:pPr>
        <w:pStyle w:val="Instructions"/>
      </w:pPr>
      <w:r>
        <w:rPr>
          <w:b/>
        </w:rPr>
        <w:t xml:space="preserve">The following documents are incorporated into this worksection by reference:</w:t>
      </w:r>
    </w:p>
    <w:p>
      <w:pPr>
        <w:pStyle w:val="Standard1"/>
      </w:pPr>
      <w:r>
        <w:rPr/>
        <w:t xml:space="preserve">AS/NZS 2311</w:t>
      </w:r>
      <w:r>
        <w:tab/>
      </w:r>
      <w:r>
        <w:rPr/>
        <w:t xml:space="preserve">2017</w:t>
      </w:r>
      <w:r>
        <w:tab/>
      </w:r>
      <w:r>
        <w:rPr/>
        <w:t xml:space="preserve">Guide to the painting of buildings</w:t>
      </w:r>
    </w:p>
    <w:p>
      <w:pPr>
        <w:pStyle w:val="Standard1"/>
      </w:pPr>
      <w:r>
        <w:rPr/>
        <w:t xml:space="preserve">AS/NZS 4548</w:t>
      </w:r>
      <w:r>
        <w:tab/>
      </w:r>
      <w:r>
        <w:tab/>
      </w:r>
      <w:r>
        <w:rPr/>
        <w:t xml:space="preserve">Guide to long-life coatings for concrete and masonry</w:t>
      </w:r>
    </w:p>
    <w:p>
      <w:pPr>
        <w:pStyle w:val="Standard2"/>
      </w:pPr>
      <w:r>
        <w:rPr/>
        <w:t xml:space="preserve">AS/NZS 4548.1</w:t>
      </w:r>
      <w:r>
        <w:tab/>
      </w:r>
      <w:r>
        <w:rPr/>
        <w:t xml:space="preserve">1999</w:t>
      </w:r>
      <w:r>
        <w:tab/>
      </w:r>
      <w:r>
        <w:rPr/>
        <w:t xml:space="preserve">Wall coatings - Latex extensible</w:t>
      </w:r>
    </w:p>
    <w:p>
      <w:pPr>
        <w:pStyle w:val="Standard2"/>
      </w:pPr>
      <w:r>
        <w:rPr/>
        <w:t xml:space="preserve">AS/NZS 4548.2</w:t>
      </w:r>
      <w:r>
        <w:tab/>
      </w:r>
      <w:r>
        <w:rPr/>
        <w:t xml:space="preserve">1999</w:t>
      </w:r>
      <w:r>
        <w:tab/>
      </w:r>
      <w:r>
        <w:rPr/>
        <w:t xml:space="preserve">Latex finish coatings - High-build, low profile</w:t>
      </w:r>
    </w:p>
    <w:p>
      <w:pPr>
        <w:pStyle w:val="Standard2"/>
      </w:pPr>
      <w:r>
        <w:rPr/>
        <w:t xml:space="preserve">AS/NZS 4548.3</w:t>
      </w:r>
      <w:r>
        <w:tab/>
      </w:r>
      <w:r>
        <w:rPr/>
        <w:t xml:space="preserve">1999</w:t>
      </w:r>
      <w:r>
        <w:tab/>
      </w:r>
      <w:r>
        <w:rPr/>
        <w:t xml:space="preserve">Latex - Textured coatings - Non-aggregate</w:t>
      </w:r>
    </w:p>
    <w:p>
      <w:pPr>
        <w:pStyle w:val="Standard2"/>
      </w:pPr>
      <w:r>
        <w:rPr/>
        <w:t xml:space="preserve">AS/NZS 4548.4</w:t>
      </w:r>
      <w:r>
        <w:tab/>
      </w:r>
      <w:r>
        <w:rPr/>
        <w:t xml:space="preserve">1999</w:t>
      </w:r>
      <w:r>
        <w:tab/>
      </w:r>
      <w:r>
        <w:rPr/>
        <w:t xml:space="preserve">Latex - Textured coatings - Aggregate filled</w:t>
      </w:r>
    </w:p>
    <w:p>
      <w:pPr>
        <w:pStyle w:val="Standard1"/>
      </w:pPr>
      <w:r>
        <w:rPr/>
        <w:t xml:space="preserve">SUSMP</w:t>
      </w:r>
      <w:r>
        <w:tab/>
      </w:r>
      <w:r>
        <w:rPr/>
        <w:t xml:space="preserve">2019</w:t>
      </w:r>
      <w:r>
        <w:tab/>
      </w:r>
      <w:r>
        <w:rPr/>
        <w:t xml:space="preserve">Poisons Standard (SUSMP)</w:t>
      </w:r>
    </w:p>
    <w:p>
      <w:pPr>
        <w:pStyle w:val="Instructions"/>
      </w:pPr>
      <w:r>
        <w:rPr>
          <w:b/>
        </w:rPr>
        <w:t xml:space="preserve">The following documents are mentioned only in the </w:t>
      </w:r>
      <w:r>
        <w:rPr>
          <w:b/>
          <w:i/>
        </w:rPr>
        <w:t xml:space="preserve">Guidance</w:t>
      </w:r>
      <w:r>
        <w:rPr>
          <w:b/>
        </w:rPr>
        <w:t xml:space="preserve"> text:</w:t>
      </w:r>
    </w:p>
    <w:p>
      <w:pPr>
        <w:pStyle w:val="Standard1"/>
      </w:pPr>
      <w:r>
        <w:rPr/>
        <w:t xml:space="preserve">AS 1580</w:t>
      </w:r>
      <w:r>
        <w:tab/>
      </w:r>
      <w:r>
        <w:tab/>
      </w:r>
      <w:r>
        <w:rPr/>
        <w:t xml:space="preserve">Paints and related materials - Methods of test</w:t>
      </w:r>
    </w:p>
    <w:p>
      <w:pPr>
        <w:pStyle w:val="Standard2"/>
      </w:pPr>
      <w:r>
        <w:rPr/>
        <w:t xml:space="preserve">AS/NZS 1580.602.2</w:t>
      </w:r>
      <w:r>
        <w:tab/>
      </w:r>
      <w:r>
        <w:rPr/>
        <w:t xml:space="preserve">1995</w:t>
      </w:r>
      <w:r>
        <w:tab/>
      </w:r>
      <w:r>
        <w:rPr/>
        <w:t xml:space="preserve">Measurement of specular gloss of non-metallic paint films at 20 degrees, 60 degrees and 85 degrees (ISO 2813:1994)</w:t>
      </w:r>
    </w:p>
    <w:p>
      <w:pPr>
        <w:pStyle w:val="Standard1"/>
      </w:pPr>
      <w:r>
        <w:rPr/>
        <w:t xml:space="preserve">AS/NZS 2310</w:t>
      </w:r>
      <w:r>
        <w:tab/>
      </w:r>
      <w:r>
        <w:rPr/>
        <w:t xml:space="preserve">2002</w:t>
      </w:r>
      <w:r>
        <w:tab/>
      </w:r>
      <w:r>
        <w:rPr/>
        <w:t xml:space="preserve">Glossary of paint and painting terms</w:t>
      </w:r>
    </w:p>
    <w:p>
      <w:pPr>
        <w:pStyle w:val="Standard1"/>
      </w:pPr>
      <w:r>
        <w:rPr/>
        <w:t xml:space="preserve">AS 4361</w:t>
      </w:r>
      <w:r>
        <w:tab/>
      </w:r>
      <w:r>
        <w:tab/>
      </w:r>
      <w:r>
        <w:rPr/>
        <w:t xml:space="preserve">Guide to lead paint management</w:t>
      </w:r>
    </w:p>
    <w:p>
      <w:pPr>
        <w:pStyle w:val="Standard2"/>
      </w:pPr>
      <w:r>
        <w:rPr/>
        <w:t xml:space="preserve">AS/NZS 4361.2</w:t>
      </w:r>
      <w:r>
        <w:tab/>
      </w:r>
      <w:r>
        <w:rPr/>
        <w:t xml:space="preserve">2017</w:t>
      </w:r>
      <w:r>
        <w:tab/>
      </w:r>
      <w:r>
        <w:rPr/>
        <w:t xml:space="preserve">Lead paint in residential, public and commercial buildings</w:t>
      </w:r>
    </w:p>
    <w:p>
      <w:pPr>
        <w:pStyle w:val="Standard1"/>
      </w:pPr>
      <w:r>
        <w:rPr/>
        <w:t xml:space="preserve">NATSPEC GEN 006</w:t>
      </w:r>
      <w:r>
        <w:tab/>
      </w:r>
      <w:r>
        <w:rPr/>
        <w:t xml:space="preserve">2007</w:t>
      </w:r>
      <w:r>
        <w:tab/>
      </w:r>
      <w:r>
        <w:rPr/>
        <w:t xml:space="preserve">Product specifying and substitution</w:t>
      </w:r>
    </w:p>
    <w:p>
      <w:pPr>
        <w:pStyle w:val="Standard1"/>
      </w:pPr>
      <w:r>
        <w:rPr/>
        <w:t xml:space="preserve">NATSPEC GEN 024</w:t>
      </w:r>
      <w:r>
        <w:tab/>
      </w:r>
      <w:r>
        <w:rPr/>
        <w:t xml:space="preserve">2015</w:t>
      </w:r>
      <w:r>
        <w:tab/>
      </w:r>
      <w:r>
        <w:rPr/>
        <w:t xml:space="preserve">Using NATSPEC selections schedules</w:t>
      </w:r>
    </w:p>
    <w:p>
      <w:pPr>
        <w:pStyle w:val="Standard1"/>
      </w:pPr>
      <w:r>
        <w:rPr/>
        <w:t xml:space="preserve">NATSPEC TR 01</w:t>
      </w:r>
      <w:r>
        <w:tab/>
      </w:r>
      <w:r>
        <w:rPr/>
        <w:t xml:space="preserve">2019</w:t>
      </w:r>
      <w:r>
        <w:tab/>
      </w:r>
      <w:r>
        <w:rPr/>
        <w:t xml:space="preserve">Specifying ESD</w:t>
      </w:r>
    </w:p>
    <w:bookmarkEnd w:id="251"/>
    <w:sectP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w:rsidR="003F10B8" w:rsidRPr="00420ABA" w:rsidSect="00E57BAC">
      <w:headerReference w:type="default" r:id="rId7"/>
      <w:footerReference w:type="even" r:id="rId8"/>
      <w:footerReference w:type="default" r:id="rId9"/>
      <w:footnotePr>
        <w:numFmt w:val="lowerRoman"/>
      </w:footnotePr>
      <w:endnotePr>
        <w:numFmt w:val="decimal"/>
      </w:endnotePr>
      <w:pgSz w:w="11907" w:h="16840" w:code="9"/>
      <w:pgMar w:top="851"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46D5" w:rsidRDefault="009C46D5">
      <w:r>
        <w:separator/>
      </w:r>
    </w:p>
  </w:endnote>
  <w:endnote w:type="continuationSeparator" w:id="0">
    <w:p w:rsidR="009C46D5" w:rsidRDefault="009C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End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rsidR="006567D2" w:rsidRDefault="00656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46D5" w:rsidRDefault="009C46D5">
      <w:r>
        <w:separator/>
      </w:r>
    </w:p>
  </w:footnote>
  <w:footnote w:type="continuationSeparator" w:id="0">
    <w:p w:rsidR="009C46D5" w:rsidRDefault="009C4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7533D6">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EndPr/>
      <w:sdtContent>
        <w:r w:rsidR="00EC2270">
          <w:t>04 Sites</w:t>
        </w:r>
      </w:sdtContent>
    </w:sdt>
    <w:r w:rsidR="006567D2">
      <w:tab/>
    </w:r>
    <w:r>
      <w:rPr>
        <w:noProof/>
      </w:rPr>
      <w:fldChar w:fldCharType="begin"/>
    </w:r>
    <w:r>
      <w:rPr>
        <w:noProof/>
      </w:rPr>
      <w:instrText xml:space="preserve"> STYLEREF  "Heading 1" \* MERGEFORMAT </w:instrText>
    </w:r>
    <w:r>
      <w:rPr>
        <w:noProof/>
      </w:rPr>
      <w:fldChar w:fldCharType="separate"/>
    </w:r>
    <w:r>
      <w:rPr>
        <w:noProof/>
      </w:rPr>
      <w:t>0411 Waterproofing – external and tanking</w:t>
    </w:r>
    <w:r>
      <w:rPr>
        <w:noProof/>
      </w:rPr>
      <w:fldChar w:fldCharType="end"/>
    </w:r>
  </w:p>
  <w:p w:rsidR="006567D2" w:rsidRDefault="006567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8"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0"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2"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5"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6"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8" w15:restartNumberingAfterBreak="0">
    <w:nsid w:val="4FD96DE1"/>
    <w:multiLevelType w:val="singleLevel"/>
    <w:tmpl w:val="C4E86A76"/>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19"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0"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2"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0"/>
  </w:num>
  <w:num w:numId="3">
    <w:abstractNumId w:val="18"/>
  </w:num>
  <w:num w:numId="4">
    <w:abstractNumId w:val="2"/>
  </w:num>
  <w:num w:numId="5">
    <w:abstractNumId w:val="12"/>
  </w:num>
  <w:num w:numId="6">
    <w:abstractNumId w:val="9"/>
  </w:num>
  <w:num w:numId="7">
    <w:abstractNumId w:val="11"/>
  </w:num>
  <w:num w:numId="8">
    <w:abstractNumId w:val="12"/>
  </w:num>
  <w:num w:numId="9">
    <w:abstractNumId w:val="6"/>
  </w:num>
  <w:num w:numId="10">
    <w:abstractNumId w:val="19"/>
  </w:num>
  <w:num w:numId="11">
    <w:abstractNumId w:val="10"/>
  </w:num>
  <w:num w:numId="12">
    <w:abstractNumId w:val="22"/>
  </w:num>
  <w:num w:numId="13">
    <w:abstractNumId w:val="13"/>
  </w:num>
  <w:num w:numId="14">
    <w:abstractNumId w:val="20"/>
  </w:num>
  <w:num w:numId="15">
    <w:abstractNumId w:val="6"/>
  </w:num>
  <w:num w:numId="16">
    <w:abstractNumId w:val="19"/>
  </w:num>
  <w:num w:numId="17">
    <w:abstractNumId w:val="6"/>
  </w:num>
  <w:num w:numId="18">
    <w:abstractNumId w:val="0"/>
  </w:num>
  <w:num w:numId="19">
    <w:abstractNumId w:val="0"/>
  </w:num>
  <w:num w:numId="20">
    <w:abstractNumId w:val="6"/>
  </w:num>
  <w:num w:numId="21">
    <w:abstractNumId w:val="9"/>
  </w:num>
  <w:num w:numId="22">
    <w:abstractNumId w:val="12"/>
  </w:num>
  <w:num w:numId="23">
    <w:abstractNumId w:val="12"/>
  </w:num>
  <w:num w:numId="24">
    <w:abstractNumId w:val="5"/>
  </w:num>
  <w:num w:numId="25">
    <w:abstractNumId w:val="5"/>
  </w:num>
  <w:num w:numId="26">
    <w:abstractNumId w:val="6"/>
  </w:num>
  <w:num w:numId="27">
    <w:abstractNumId w:val="6"/>
  </w:num>
  <w:num w:numId="28">
    <w:abstractNumId w:val="5"/>
  </w:num>
  <w:num w:numId="29">
    <w:abstractNumId w:val="5"/>
  </w:num>
  <w:num w:numId="30">
    <w:abstractNumId w:val="5"/>
  </w:num>
  <w:num w:numId="31">
    <w:abstractNumId w:val="18"/>
  </w:num>
  <w:num w:numId="32">
    <w:abstractNumId w:val="3"/>
  </w:num>
  <w:num w:numId="33">
    <w:abstractNumId w:val="21"/>
  </w:num>
  <w:num w:numId="34">
    <w:abstractNumId w:val="1"/>
  </w:num>
  <w:num w:numId="35">
    <w:abstractNumId w:val="14"/>
  </w:num>
  <w:num w:numId="36">
    <w:abstractNumId w:val="17"/>
  </w:num>
  <w:num w:numId="37">
    <w:abstractNumId w:val="8"/>
  </w:num>
  <w:num w:numId="38">
    <w:abstractNumId w:val="16"/>
  </w:num>
  <w:num w:numId="39">
    <w:abstractNumId w:val="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453"/>
    <w:rsid w:val="003465CA"/>
    <w:rsid w:val="003634A4"/>
    <w:rsid w:val="00367FDF"/>
    <w:rsid w:val="003704FE"/>
    <w:rsid w:val="00377499"/>
    <w:rsid w:val="00385556"/>
    <w:rsid w:val="00385DD3"/>
    <w:rsid w:val="00391E4E"/>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A05B6"/>
    <w:rsid w:val="006A7576"/>
    <w:rsid w:val="006B258D"/>
    <w:rsid w:val="006B35CB"/>
    <w:rsid w:val="006D4AE8"/>
    <w:rsid w:val="006E6D2A"/>
    <w:rsid w:val="006F73BB"/>
    <w:rsid w:val="0074575A"/>
    <w:rsid w:val="0074728C"/>
    <w:rsid w:val="00750BC6"/>
    <w:rsid w:val="007533D6"/>
    <w:rsid w:val="007551B5"/>
    <w:rsid w:val="00755CB6"/>
    <w:rsid w:val="00756783"/>
    <w:rsid w:val="007620F4"/>
    <w:rsid w:val="00776C7E"/>
    <w:rsid w:val="007B2C8C"/>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E557E"/>
    <w:rsid w:val="008E5DCD"/>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6CD8"/>
    <w:rsid w:val="00A1077B"/>
    <w:rsid w:val="00A16ECB"/>
    <w:rsid w:val="00A341D1"/>
    <w:rsid w:val="00A41850"/>
    <w:rsid w:val="00A8763C"/>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C4DEA"/>
    <w:rsid w:val="00BD47DE"/>
    <w:rsid w:val="00BE0DB0"/>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724D"/>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A00B9"/>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415BD"/>
    <w:rsid w:val="00F52012"/>
    <w:rsid w:val="00F569CD"/>
    <w:rsid w:val="00F57EA1"/>
    <w:rsid w:val="00F60467"/>
    <w:rsid w:val="00F622A9"/>
    <w:rsid w:val="00F806AE"/>
    <w:rsid w:val="00F840CF"/>
    <w:rsid w:val="00FA082F"/>
    <w:rsid w:val="00FA520F"/>
    <w:rsid w:val="00FD337D"/>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50A617"/>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ECB"/>
    <w:pPr>
      <w:tabs>
        <w:tab w:val="left" w:pos="3969"/>
      </w:tabs>
      <w:spacing w:after="60"/>
    </w:pPr>
    <w:rPr>
      <w:rFonts w:ascii="Arial" w:hAnsi="Arial"/>
      <w:lang w:eastAsia="en-US"/>
    </w:rPr>
  </w:style>
  <w:style w:type="paragraph" w:styleId="Heading1">
    <w:name w:val="heading 1"/>
    <w:next w:val="Heading2"/>
    <w:qFormat/>
    <w:rsid w:val="00584ECB"/>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584ECB"/>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584ECB"/>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584ECB"/>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584ECB"/>
    <w:pPr>
      <w:numPr>
        <w:ilvl w:val="4"/>
        <w:numId w:val="6"/>
      </w:numPr>
      <w:spacing w:before="240"/>
      <w:outlineLvl w:val="4"/>
    </w:pPr>
    <w:rPr>
      <w:sz w:val="22"/>
    </w:rPr>
  </w:style>
  <w:style w:type="paragraph" w:styleId="Heading6">
    <w:name w:val="heading 6"/>
    <w:basedOn w:val="Normal"/>
    <w:next w:val="Normal"/>
    <w:qFormat/>
    <w:rsid w:val="00584ECB"/>
    <w:pPr>
      <w:numPr>
        <w:ilvl w:val="5"/>
        <w:numId w:val="6"/>
      </w:numPr>
      <w:spacing w:before="240"/>
      <w:outlineLvl w:val="5"/>
    </w:pPr>
    <w:rPr>
      <w:i/>
      <w:sz w:val="22"/>
    </w:rPr>
  </w:style>
  <w:style w:type="paragraph" w:styleId="Heading7">
    <w:name w:val="heading 7"/>
    <w:basedOn w:val="Normal"/>
    <w:next w:val="Normal"/>
    <w:qFormat/>
    <w:rsid w:val="00584ECB"/>
    <w:pPr>
      <w:numPr>
        <w:ilvl w:val="6"/>
        <w:numId w:val="6"/>
      </w:numPr>
      <w:spacing w:before="240"/>
      <w:outlineLvl w:val="6"/>
    </w:pPr>
  </w:style>
  <w:style w:type="paragraph" w:styleId="Heading8">
    <w:name w:val="heading 8"/>
    <w:basedOn w:val="Normal"/>
    <w:next w:val="Normal"/>
    <w:qFormat/>
    <w:rsid w:val="00584ECB"/>
    <w:pPr>
      <w:numPr>
        <w:ilvl w:val="7"/>
        <w:numId w:val="6"/>
      </w:numPr>
      <w:spacing w:before="240"/>
      <w:outlineLvl w:val="7"/>
    </w:pPr>
    <w:rPr>
      <w:i/>
    </w:rPr>
  </w:style>
  <w:style w:type="paragraph" w:styleId="Heading9">
    <w:name w:val="heading 9"/>
    <w:basedOn w:val="Normal"/>
    <w:next w:val="Normal"/>
    <w:qFormat/>
    <w:rsid w:val="00584ECB"/>
    <w:pPr>
      <w:numPr>
        <w:ilvl w:val="8"/>
        <w:numId w:val="6"/>
      </w:numPr>
      <w:spacing w:before="240"/>
      <w:outlineLvl w:val="8"/>
    </w:pPr>
    <w:rPr>
      <w:i/>
    </w:rPr>
  </w:style>
  <w:style w:type="character" w:default="1" w:styleId="DefaultParagraphFont">
    <w:name w:val="Default Paragraph Font"/>
    <w:uiPriority w:val="1"/>
    <w:semiHidden/>
    <w:unhideWhenUsed/>
    <w:rsid w:val="00584E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4ECB"/>
  </w:style>
  <w:style w:type="paragraph" w:styleId="Footer">
    <w:name w:val="footer"/>
    <w:rsid w:val="00584ECB"/>
    <w:pPr>
      <w:tabs>
        <w:tab w:val="center" w:pos="4536"/>
        <w:tab w:val="right" w:pos="9072"/>
      </w:tabs>
    </w:pPr>
    <w:rPr>
      <w:rFonts w:ascii="Arial" w:hAnsi="Arial"/>
      <w:i/>
      <w:sz w:val="16"/>
      <w:szCs w:val="16"/>
      <w:lang w:eastAsia="en-US"/>
    </w:rPr>
  </w:style>
  <w:style w:type="paragraph" w:styleId="Header">
    <w:name w:val="header"/>
    <w:rsid w:val="00584ECB"/>
    <w:pPr>
      <w:pBdr>
        <w:bottom w:val="single" w:sz="6" w:space="4" w:color="auto"/>
      </w:pBdr>
      <w:tabs>
        <w:tab w:val="right" w:pos="9072"/>
      </w:tabs>
      <w:spacing w:after="200"/>
    </w:pPr>
    <w:rPr>
      <w:rFonts w:ascii="Arial" w:hAnsi="Arial"/>
      <w:b/>
      <w:i/>
      <w:lang w:eastAsia="en-US"/>
    </w:rPr>
  </w:style>
  <w:style w:type="paragraph" w:styleId="NormalIndent">
    <w:name w:val="Normal Indent"/>
    <w:rsid w:val="00584ECB"/>
    <w:pPr>
      <w:numPr>
        <w:numId w:val="5"/>
      </w:numPr>
      <w:tabs>
        <w:tab w:val="left" w:pos="210"/>
        <w:tab w:val="left" w:pos="3969"/>
      </w:tabs>
      <w:spacing w:after="60"/>
    </w:pPr>
    <w:rPr>
      <w:rFonts w:ascii="Arial" w:hAnsi="Arial"/>
      <w:lang w:eastAsia="en-US"/>
    </w:rPr>
  </w:style>
  <w:style w:type="paragraph" w:customStyle="1" w:styleId="Tabletext">
    <w:name w:val="Table text"/>
    <w:rsid w:val="00584ECB"/>
    <w:rPr>
      <w:rFonts w:ascii="Arial" w:hAnsi="Arial"/>
      <w:lang w:eastAsia="en-US"/>
    </w:rPr>
  </w:style>
  <w:style w:type="paragraph" w:customStyle="1" w:styleId="Tabletitle">
    <w:name w:val="Table title"/>
    <w:rsid w:val="00584ECB"/>
    <w:rPr>
      <w:rFonts w:ascii="Arial" w:hAnsi="Arial"/>
      <w:b/>
      <w:lang w:eastAsia="en-US"/>
    </w:rPr>
  </w:style>
  <w:style w:type="paragraph" w:customStyle="1" w:styleId="Tableindent">
    <w:name w:val="Table indent"/>
    <w:rsid w:val="00584ECB"/>
    <w:pPr>
      <w:numPr>
        <w:numId w:val="4"/>
      </w:numPr>
      <w:tabs>
        <w:tab w:val="left" w:pos="85"/>
      </w:tabs>
    </w:pPr>
    <w:rPr>
      <w:rFonts w:ascii="Arial" w:hAnsi="Arial"/>
      <w:lang w:eastAsia="en-US"/>
    </w:rPr>
  </w:style>
  <w:style w:type="paragraph" w:customStyle="1" w:styleId="NormalIndent2">
    <w:name w:val="Normal Indent 2"/>
    <w:rsid w:val="00584ECB"/>
    <w:pPr>
      <w:numPr>
        <w:numId w:val="3"/>
      </w:numPr>
      <w:tabs>
        <w:tab w:val="left" w:pos="420"/>
        <w:tab w:val="left" w:pos="3969"/>
      </w:tabs>
      <w:spacing w:after="60"/>
    </w:pPr>
    <w:rPr>
      <w:rFonts w:ascii="Arial" w:hAnsi="Arial"/>
      <w:lang w:eastAsia="en-US"/>
    </w:rPr>
  </w:style>
  <w:style w:type="paragraph" w:customStyle="1" w:styleId="NormalIndent3">
    <w:name w:val="Normal Indent 3"/>
    <w:rsid w:val="00584ECB"/>
    <w:pPr>
      <w:numPr>
        <w:numId w:val="2"/>
      </w:numPr>
      <w:tabs>
        <w:tab w:val="left" w:pos="420"/>
      </w:tabs>
      <w:spacing w:after="60"/>
    </w:pPr>
    <w:rPr>
      <w:rFonts w:ascii="Arial" w:hAnsi="Arial"/>
      <w:lang w:eastAsia="en-US"/>
    </w:rPr>
  </w:style>
  <w:style w:type="character" w:styleId="Hyperlink">
    <w:name w:val="Hyperlink"/>
    <w:rsid w:val="00584ECB"/>
    <w:rPr>
      <w:color w:val="0000FF"/>
      <w:u w:val="none"/>
      <w:bdr w:val="none" w:sz="0" w:space="0" w:color="auto"/>
    </w:rPr>
  </w:style>
  <w:style w:type="paragraph" w:customStyle="1" w:styleId="Guidancetabletext">
    <w:name w:val="Guidance table text"/>
    <w:basedOn w:val="Instructions"/>
    <w:rsid w:val="00584ECB"/>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584ECB"/>
    <w:rPr>
      <w:b/>
      <w:bCs/>
    </w:rPr>
  </w:style>
  <w:style w:type="character" w:customStyle="1" w:styleId="Italic">
    <w:name w:val="Italic"/>
    <w:rsid w:val="00584ECB"/>
    <w:rPr>
      <w:i/>
      <w:iCs/>
    </w:rPr>
  </w:style>
  <w:style w:type="character" w:customStyle="1" w:styleId="Symbol">
    <w:name w:val="Symbol"/>
    <w:rsid w:val="00584ECB"/>
    <w:rPr>
      <w:rFonts w:ascii="Symbol" w:hAnsi="Symbol"/>
    </w:rPr>
  </w:style>
  <w:style w:type="paragraph" w:customStyle="1" w:styleId="Instructions">
    <w:name w:val="Instructions"/>
    <w:basedOn w:val="Normal"/>
    <w:rsid w:val="00584ECB"/>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584ECB"/>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584ECB"/>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584ECB"/>
  </w:style>
  <w:style w:type="paragraph" w:customStyle="1" w:styleId="Tableindent2">
    <w:name w:val="Table indent 2"/>
    <w:rsid w:val="00584ECB"/>
    <w:pPr>
      <w:numPr>
        <w:numId w:val="7"/>
      </w:numPr>
      <w:tabs>
        <w:tab w:val="left" w:pos="284"/>
      </w:tabs>
    </w:pPr>
    <w:rPr>
      <w:rFonts w:ascii="Arial" w:hAnsi="Arial"/>
      <w:lang w:eastAsia="en-US"/>
    </w:rPr>
  </w:style>
  <w:style w:type="paragraph" w:styleId="TOC1">
    <w:name w:val="toc 1"/>
    <w:basedOn w:val="Normal"/>
    <w:next w:val="Normal"/>
    <w:autoRedefine/>
    <w:semiHidden/>
    <w:rsid w:val="00584ECB"/>
    <w:pPr>
      <w:tabs>
        <w:tab w:val="clear" w:pos="3969"/>
      </w:tabs>
    </w:pPr>
    <w:rPr>
      <w:b/>
    </w:rPr>
  </w:style>
  <w:style w:type="paragraph" w:styleId="TOC2">
    <w:name w:val="toc 2"/>
    <w:basedOn w:val="Normal"/>
    <w:next w:val="Normal"/>
    <w:autoRedefine/>
    <w:semiHidden/>
    <w:rsid w:val="00584ECB"/>
    <w:pPr>
      <w:tabs>
        <w:tab w:val="clear" w:pos="3969"/>
      </w:tabs>
      <w:ind w:left="200"/>
    </w:pPr>
    <w:rPr>
      <w:b/>
    </w:rPr>
  </w:style>
  <w:style w:type="paragraph" w:customStyle="1" w:styleId="Instructionsindent2">
    <w:name w:val="Instructions indent 2"/>
    <w:rsid w:val="00584ECB"/>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584ECB"/>
    <w:rPr>
      <w:color w:val="993300"/>
    </w:rPr>
  </w:style>
  <w:style w:type="paragraph" w:customStyle="1" w:styleId="Promptindent">
    <w:name w:val="Prompt indent"/>
    <w:basedOn w:val="NormalIndent"/>
    <w:rsid w:val="00584ECB"/>
    <w:pPr>
      <w:numPr>
        <w:numId w:val="9"/>
      </w:numPr>
    </w:pPr>
    <w:rPr>
      <w:color w:val="993300"/>
    </w:rPr>
  </w:style>
  <w:style w:type="paragraph" w:customStyle="1" w:styleId="Promptindent2">
    <w:name w:val="Prompt indent 2"/>
    <w:basedOn w:val="NormalIndent2"/>
    <w:rsid w:val="00584ECB"/>
    <w:pPr>
      <w:numPr>
        <w:numId w:val="10"/>
      </w:numPr>
    </w:pPr>
    <w:rPr>
      <w:color w:val="993300"/>
    </w:rPr>
  </w:style>
  <w:style w:type="paragraph" w:customStyle="1" w:styleId="Standard1">
    <w:name w:val="Standard 1"/>
    <w:rsid w:val="00584ECB"/>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584ECB"/>
    <w:pPr>
      <w:tabs>
        <w:tab w:val="clear" w:pos="2835"/>
        <w:tab w:val="left" w:pos="3119"/>
      </w:tabs>
      <w:ind w:left="3119" w:hanging="3119"/>
    </w:pPr>
  </w:style>
  <w:style w:type="paragraph" w:customStyle="1" w:styleId="OptionalHeading3">
    <w:name w:val="Optional Heading 3"/>
    <w:basedOn w:val="Heading3"/>
    <w:qFormat/>
    <w:rsid w:val="00584ECB"/>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584ECB"/>
    <w:pPr>
      <w:shd w:val="clear" w:color="auto" w:fill="D9D9D9"/>
    </w:pPr>
    <w:rPr>
      <w:rFonts w:ascii="Calibri" w:hAnsi="Calibri"/>
      <w:vanish/>
      <w:color w:val="365F91"/>
    </w:rPr>
  </w:style>
  <w:style w:type="paragraph" w:customStyle="1" w:styleId="OptionalNormal">
    <w:name w:val="Optional Normal"/>
    <w:basedOn w:val="Normal"/>
    <w:qFormat/>
    <w:rsid w:val="00584ECB"/>
    <w:pPr>
      <w:shd w:val="clear" w:color="auto" w:fill="D9D9D9"/>
    </w:pPr>
    <w:rPr>
      <w:rFonts w:ascii="Calibri" w:hAnsi="Calibri"/>
      <w:vanish/>
      <w:color w:val="365F91"/>
    </w:rPr>
  </w:style>
  <w:style w:type="paragraph" w:customStyle="1" w:styleId="OptionalNormalIndent">
    <w:name w:val="Optional Normal Indent"/>
    <w:rsid w:val="00584ECB"/>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584ECB"/>
    <w:pPr>
      <w:shd w:val="clear" w:color="auto" w:fill="D9D9D9"/>
    </w:pPr>
    <w:rPr>
      <w:rFonts w:ascii="Calibri" w:hAnsi="Calibri"/>
      <w:vanish/>
      <w:color w:val="365F91"/>
    </w:rPr>
  </w:style>
  <w:style w:type="paragraph" w:customStyle="1" w:styleId="OptionalTabletitle">
    <w:name w:val="Optional Table title"/>
    <w:basedOn w:val="Tabletitle"/>
    <w:qFormat/>
    <w:rsid w:val="00584ECB"/>
    <w:pPr>
      <w:shd w:val="clear" w:color="auto" w:fill="D9D9D9"/>
    </w:pPr>
    <w:rPr>
      <w:rFonts w:ascii="Calibri" w:hAnsi="Calibri"/>
      <w:vanish/>
      <w:color w:val="365F91"/>
    </w:rPr>
  </w:style>
  <w:style w:type="paragraph" w:customStyle="1" w:styleId="OptionalPromptindent">
    <w:name w:val="Optional Prompt indent"/>
    <w:basedOn w:val="Promptindent"/>
    <w:rsid w:val="00584ECB"/>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584ECB"/>
    <w:pPr>
      <w:numPr>
        <w:numId w:val="0"/>
      </w:numPr>
      <w:shd w:val="clear" w:color="auto" w:fill="D9D9D9"/>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5D61DE"/>
    <w:rsid w:val="006F45E4"/>
    <w:rsid w:val="00852C26"/>
    <w:rsid w:val="00925E69"/>
    <w:rsid w:val="00933870"/>
    <w:rsid w:val="00971462"/>
    <w:rsid w:val="00A7620C"/>
    <w:rsid w:val="00B35BAE"/>
    <w:rsid w:val="00C2262B"/>
    <w:rsid w:val="00CA2380"/>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natspec.dotm</Template>
  <TotalTime>8</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dc:description xmlns:dc="http://purl.org/dc/elements/1.1/">Document generated by PageSeeder.</dc:description>
  <dc:subject xmlns:dc="http://purl.org/dc/elements/1.1/">Oct 19</dc:subject>
  <dc:title xmlns:dc="http://purl.org/dc/elements/1.1/">0672p WATTYL - GRANOSITE textured membrane coatings</dc:title>
  <cp:category>06 FINISH</cp:category>
</cp:coreProperties>
</file>